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1818178127"/>
        <w:placeholder>
          <w:docPart w:val="9013D210CFA843D98127FA6A403D9CC1"/>
        </w:placeholder>
        <w:dataBinding w:prefixMappings="xmlns:ns0='http://purl.org/dc/elements/1.1/' xmlns:ns1='http://schemas.openxmlformats.org/package/2006/metadata/core-properties' " w:xpath="/ns1:coreProperties[1]/ns0:title[1]" w:storeItemID="{6C3C8BC8-F283-45AE-878A-BAB7291924A1}"/>
        <w:text/>
      </w:sdtPr>
      <w:sdtEndPr/>
      <w:sdtContent>
        <w:p w14:paraId="69E96A4C" w14:textId="280E1F49" w:rsidR="002E6463" w:rsidRPr="00CB1AB4" w:rsidRDefault="001A4B6B" w:rsidP="00DE2100">
          <w:pPr>
            <w:pStyle w:val="PrincipalName"/>
            <w:jc w:val="center"/>
          </w:pPr>
          <w:r>
            <w:t>Shaun Ledgerwood</w:t>
          </w:r>
        </w:p>
      </w:sdtContent>
    </w:sdt>
    <w:p w14:paraId="3A9FD87A" w14:textId="175FDF2E" w:rsidR="00D5123F" w:rsidRPr="00D5123F" w:rsidRDefault="00381B38" w:rsidP="00D5123F">
      <w:pPr>
        <w:pStyle w:val="TitleOfficeLocation"/>
        <w:jc w:val="center"/>
        <w:rPr>
          <w:sz w:val="28"/>
          <w:szCs w:val="28"/>
        </w:rPr>
      </w:pPr>
      <w:r>
        <w:rPr>
          <w:sz w:val="28"/>
          <w:szCs w:val="28"/>
        </w:rPr>
        <w:t>Principal</w:t>
      </w:r>
    </w:p>
    <w:p w14:paraId="4344ECA6" w14:textId="4DB77729" w:rsidR="00D5123F" w:rsidRPr="00D5123F" w:rsidRDefault="00F97EB6" w:rsidP="00BB0834">
      <w:pPr>
        <w:pStyle w:val="TitleOfficeLocation"/>
        <w:jc w:val="center"/>
        <w:rPr>
          <w:caps w:val="0"/>
          <w:color w:val="3A699C"/>
          <w:spacing w:val="0"/>
        </w:rPr>
      </w:pPr>
      <w:r w:rsidRPr="00D5123F">
        <w:rPr>
          <w:caps w:val="0"/>
          <w:color w:val="3A699C"/>
          <w:spacing w:val="0"/>
        </w:rPr>
        <w:t xml:space="preserve">Practice </w:t>
      </w:r>
      <w:r w:rsidR="002E6463" w:rsidRPr="00D5123F">
        <w:rPr>
          <w:caps w:val="0"/>
          <w:color w:val="3A699C"/>
          <w:spacing w:val="0"/>
        </w:rPr>
        <w:t xml:space="preserve">Leader: </w:t>
      </w:r>
      <w:r w:rsidR="00BB0834">
        <w:rPr>
          <w:caps w:val="0"/>
          <w:color w:val="3A699C"/>
          <w:spacing w:val="0"/>
        </w:rPr>
        <w:t>Regulatory Investigations &amp; Enforcement</w:t>
      </w:r>
    </w:p>
    <w:tbl>
      <w:tblPr>
        <w:tblStyle w:val="TableGrid"/>
        <w:tblW w:w="0" w:type="auto"/>
        <w:tblBorders>
          <w:top w:val="single" w:sz="4" w:space="0" w:color="8D949E" w:themeColor="background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78"/>
        <w:gridCol w:w="3449"/>
      </w:tblGrid>
      <w:tr w:rsidR="00D5123F" w:rsidRPr="0086111B" w14:paraId="60CBDE10" w14:textId="77777777" w:rsidTr="00B353D7">
        <w:trPr>
          <w:trHeight w:hRule="exact" w:val="144"/>
        </w:trPr>
        <w:tc>
          <w:tcPr>
            <w:tcW w:w="2933" w:type="dxa"/>
            <w:tcBorders>
              <w:top w:val="nil"/>
              <w:bottom w:val="single" w:sz="4" w:space="0" w:color="8D949E" w:themeColor="background2" w:themeTint="99"/>
            </w:tcBorders>
          </w:tcPr>
          <w:p w14:paraId="46377492" w14:textId="77777777" w:rsidR="00D5123F" w:rsidRPr="00D5123F" w:rsidRDefault="00D5123F" w:rsidP="0086111B">
            <w:pPr>
              <w:pStyle w:val="TitleOfficeLocation"/>
              <w:spacing w:before="120" w:after="240"/>
              <w:jc w:val="center"/>
              <w:rPr>
                <w:b w:val="0"/>
                <w:caps w:val="0"/>
                <w:color w:val="404040" w:themeColor="text1" w:themeTint="BF"/>
                <w:spacing w:val="0"/>
                <w:sz w:val="4"/>
                <w:szCs w:val="4"/>
              </w:rPr>
            </w:pPr>
          </w:p>
        </w:tc>
        <w:tc>
          <w:tcPr>
            <w:tcW w:w="2978" w:type="dxa"/>
            <w:tcBorders>
              <w:top w:val="nil"/>
              <w:bottom w:val="single" w:sz="4" w:space="0" w:color="8D949E" w:themeColor="background2" w:themeTint="99"/>
            </w:tcBorders>
          </w:tcPr>
          <w:p w14:paraId="587FDDD4" w14:textId="77777777" w:rsidR="00D5123F" w:rsidRPr="00D5123F" w:rsidRDefault="00D5123F" w:rsidP="0086111B">
            <w:pPr>
              <w:pStyle w:val="TitleOfficeLocation"/>
              <w:spacing w:before="120" w:after="240"/>
              <w:jc w:val="center"/>
              <w:rPr>
                <w:b w:val="0"/>
                <w:caps w:val="0"/>
                <w:color w:val="404040" w:themeColor="text1" w:themeTint="BF"/>
                <w:spacing w:val="0"/>
                <w:sz w:val="4"/>
                <w:szCs w:val="4"/>
              </w:rPr>
            </w:pPr>
          </w:p>
        </w:tc>
        <w:tc>
          <w:tcPr>
            <w:tcW w:w="3449" w:type="dxa"/>
            <w:tcBorders>
              <w:top w:val="nil"/>
              <w:bottom w:val="single" w:sz="4" w:space="0" w:color="8D949E" w:themeColor="background2" w:themeTint="99"/>
            </w:tcBorders>
          </w:tcPr>
          <w:p w14:paraId="3C6DF139" w14:textId="77777777" w:rsidR="00D5123F" w:rsidRPr="00D5123F" w:rsidRDefault="00D5123F" w:rsidP="0086111B">
            <w:pPr>
              <w:pStyle w:val="TitleOfficeLocation"/>
              <w:spacing w:before="120" w:after="240"/>
              <w:jc w:val="center"/>
              <w:rPr>
                <w:b w:val="0"/>
                <w:caps w:val="0"/>
                <w:color w:val="404040" w:themeColor="text1" w:themeTint="BF"/>
                <w:spacing w:val="0"/>
                <w:sz w:val="4"/>
                <w:szCs w:val="4"/>
              </w:rPr>
            </w:pPr>
          </w:p>
        </w:tc>
      </w:tr>
      <w:tr w:rsidR="0086111B" w:rsidRPr="0086111B" w14:paraId="11291A0F" w14:textId="77777777" w:rsidTr="00B353D7">
        <w:tc>
          <w:tcPr>
            <w:tcW w:w="2933" w:type="dxa"/>
            <w:tcBorders>
              <w:top w:val="single" w:sz="4" w:space="0" w:color="8D949E" w:themeColor="background2" w:themeTint="99"/>
            </w:tcBorders>
          </w:tcPr>
          <w:p w14:paraId="0812FB29" w14:textId="5ADBA994" w:rsidR="0086111B" w:rsidRPr="0086111B" w:rsidRDefault="00EB76F2" w:rsidP="001A4B6B">
            <w:pPr>
              <w:pStyle w:val="TitleOfficeLocation"/>
              <w:spacing w:before="120" w:after="240"/>
              <w:jc w:val="center"/>
              <w:rPr>
                <w:b w:val="0"/>
                <w:caps w:val="0"/>
                <w:spacing w:val="0"/>
              </w:rPr>
            </w:pPr>
            <w:sdt>
              <w:sdtPr>
                <w:rPr>
                  <w:b w:val="0"/>
                  <w:caps w:val="0"/>
                  <w:color w:val="404040" w:themeColor="text1" w:themeTint="BF"/>
                  <w:spacing w:val="0"/>
                </w:rPr>
                <w:alias w:val="OfficeLocation"/>
                <w:tag w:val="OfficeLocation"/>
                <w:id w:val="-1604266367"/>
              </w:sdtPr>
              <w:sdtEndPr/>
              <w:sdtContent>
                <w:r w:rsidR="001A4B6B">
                  <w:rPr>
                    <w:b w:val="0"/>
                    <w:caps w:val="0"/>
                    <w:color w:val="404040" w:themeColor="text1" w:themeTint="BF"/>
                    <w:spacing w:val="0"/>
                    <w:lang w:val="it-IT"/>
                  </w:rPr>
                  <w:t>Washington, DC</w:t>
                </w:r>
              </w:sdtContent>
            </w:sdt>
          </w:p>
        </w:tc>
        <w:tc>
          <w:tcPr>
            <w:tcW w:w="2978" w:type="dxa"/>
            <w:tcBorders>
              <w:top w:val="single" w:sz="4" w:space="0" w:color="8D949E" w:themeColor="background2" w:themeTint="99"/>
            </w:tcBorders>
          </w:tcPr>
          <w:p w14:paraId="5B3A0439" w14:textId="3BBCBB84" w:rsidR="0086111B" w:rsidRPr="0086111B" w:rsidRDefault="00EB76F2" w:rsidP="001A4B6B">
            <w:pPr>
              <w:pStyle w:val="TitleOfficeLocation"/>
              <w:spacing w:before="120" w:after="240"/>
              <w:jc w:val="center"/>
              <w:rPr>
                <w:b w:val="0"/>
                <w:caps w:val="0"/>
                <w:spacing w:val="0"/>
              </w:rPr>
            </w:pPr>
            <w:sdt>
              <w:sdtPr>
                <w:rPr>
                  <w:b w:val="0"/>
                  <w:caps w:val="0"/>
                  <w:color w:val="404040" w:themeColor="text1" w:themeTint="BF"/>
                  <w:spacing w:val="0"/>
                </w:rPr>
                <w:alias w:val="TelNum"/>
                <w:tag w:val="TelNum"/>
                <w:id w:val="703214708"/>
              </w:sdtPr>
              <w:sdtEndPr/>
              <w:sdtContent>
                <w:r w:rsidR="0086111B" w:rsidRPr="0086111B">
                  <w:rPr>
                    <w:b w:val="0"/>
                    <w:caps w:val="0"/>
                    <w:color w:val="404040" w:themeColor="text1" w:themeTint="BF"/>
                    <w:spacing w:val="0"/>
                    <w:lang w:val="it-IT"/>
                  </w:rPr>
                  <w:t>+</w:t>
                </w:r>
                <w:r w:rsidR="001A4B6B">
                  <w:rPr>
                    <w:b w:val="0"/>
                    <w:caps w:val="0"/>
                    <w:color w:val="404040" w:themeColor="text1" w:themeTint="BF"/>
                    <w:spacing w:val="0"/>
                    <w:lang w:val="it-IT"/>
                  </w:rPr>
                  <w:t>1.202.419.3375</w:t>
                </w:r>
              </w:sdtContent>
            </w:sdt>
          </w:p>
        </w:tc>
        <w:tc>
          <w:tcPr>
            <w:tcW w:w="3449" w:type="dxa"/>
            <w:tcBorders>
              <w:top w:val="single" w:sz="4" w:space="0" w:color="8D949E" w:themeColor="background2" w:themeTint="99"/>
            </w:tcBorders>
          </w:tcPr>
          <w:p w14:paraId="5BC0DE9D" w14:textId="600ED1A9" w:rsidR="0086111B" w:rsidRPr="0086111B" w:rsidRDefault="00EB76F2" w:rsidP="001A4B6B">
            <w:pPr>
              <w:pStyle w:val="TitleOfficeLocation"/>
              <w:spacing w:before="120" w:after="240"/>
              <w:jc w:val="center"/>
              <w:rPr>
                <w:b w:val="0"/>
                <w:caps w:val="0"/>
                <w:spacing w:val="0"/>
              </w:rPr>
            </w:pPr>
            <w:sdt>
              <w:sdtPr>
                <w:rPr>
                  <w:b w:val="0"/>
                  <w:caps w:val="0"/>
                  <w:color w:val="404040" w:themeColor="text1" w:themeTint="BF"/>
                  <w:spacing w:val="0"/>
                </w:rPr>
                <w:alias w:val="Email"/>
                <w:tag w:val="Email"/>
                <w:id w:val="958379310"/>
              </w:sdtPr>
              <w:sdtEndPr/>
              <w:sdtContent>
                <w:r w:rsidR="001A4B6B">
                  <w:rPr>
                    <w:b w:val="0"/>
                    <w:caps w:val="0"/>
                    <w:color w:val="404040" w:themeColor="text1" w:themeTint="BF"/>
                    <w:spacing w:val="0"/>
                    <w:lang w:val="it-IT"/>
                  </w:rPr>
                  <w:t>Shaun.Ledgerwood</w:t>
                </w:r>
                <w:r w:rsidR="0086111B" w:rsidRPr="0086111B">
                  <w:rPr>
                    <w:b w:val="0"/>
                    <w:caps w:val="0"/>
                    <w:color w:val="404040" w:themeColor="text1" w:themeTint="BF"/>
                    <w:spacing w:val="0"/>
                    <w:lang w:val="it-IT"/>
                  </w:rPr>
                  <w:t>@brattle.com</w:t>
                </w:r>
              </w:sdtContent>
            </w:sdt>
          </w:p>
        </w:tc>
      </w:tr>
    </w:tbl>
    <w:p w14:paraId="709B25AB" w14:textId="77777777" w:rsidR="00B353D7" w:rsidRPr="004D15D8" w:rsidRDefault="00B353D7" w:rsidP="004D15D8">
      <w:pPr>
        <w:shd w:val="clear" w:color="auto" w:fill="FFFFFF"/>
        <w:spacing w:before="240" w:line="276" w:lineRule="auto"/>
        <w:rPr>
          <w:rFonts w:eastAsia="Times New Roman" w:cstheme="minorHAnsi"/>
          <w:color w:val="2297AA" w:themeColor="accent2"/>
          <w:sz w:val="28"/>
          <w:szCs w:val="28"/>
          <w:lang w:eastAsia="en-US"/>
        </w:rPr>
      </w:pPr>
      <w:r w:rsidRPr="004D15D8">
        <w:rPr>
          <w:rFonts w:eastAsia="Times New Roman" w:cstheme="minorHAnsi"/>
          <w:color w:val="2297AA" w:themeColor="accent2"/>
          <w:sz w:val="28"/>
          <w:szCs w:val="28"/>
          <w:lang w:eastAsia="en-US"/>
        </w:rPr>
        <w:t>Dr. Ledgerwood is an expert in the analysis of manipulative, fraudulent, or anti-competitive behavior in energy, commodities, financial, and securities markets.</w:t>
      </w:r>
    </w:p>
    <w:p w14:paraId="0B01148D" w14:textId="77777777" w:rsidR="00B353D7" w:rsidRPr="00B353D7" w:rsidRDefault="00B353D7" w:rsidP="00C95F5C">
      <w:pPr>
        <w:shd w:val="clear" w:color="auto" w:fill="FFFFFF"/>
        <w:spacing w:before="120" w:after="120" w:line="276" w:lineRule="auto"/>
        <w:rPr>
          <w:rFonts w:eastAsia="Times New Roman" w:cstheme="minorHAnsi"/>
          <w:szCs w:val="24"/>
          <w:lang w:eastAsia="en-US"/>
        </w:rPr>
      </w:pPr>
      <w:r w:rsidRPr="00B353D7">
        <w:rPr>
          <w:rFonts w:eastAsia="Times New Roman" w:cstheme="minorHAnsi"/>
          <w:szCs w:val="24"/>
          <w:lang w:eastAsia="en-US"/>
        </w:rPr>
        <w:t>He specializes in performing analyses relevant to the proof (or disproof) of fraudulent or manipulative behavior related to government investigations, enforcement actions, and attendant litigation; analyses of competitive interactions within and across physical and financial markets; liability and damage analyses pursuant to matters involving contracts; and issues relevant to regulation, ratemaking, and taxation. His 30 years of experience as an economist and attorney provides clients with unique insight into matters involving litigation, especially in harmonizing and aligning economic analyses to address the legal issues presented.</w:t>
      </w:r>
    </w:p>
    <w:p w14:paraId="437E096A" w14:textId="1440EF12" w:rsidR="00B353D7" w:rsidRPr="00B353D7" w:rsidRDefault="00B353D7" w:rsidP="00C95F5C">
      <w:pPr>
        <w:shd w:val="clear" w:color="auto" w:fill="FFFFFF"/>
        <w:spacing w:before="120" w:after="120" w:line="276" w:lineRule="auto"/>
        <w:rPr>
          <w:rFonts w:eastAsia="Times New Roman" w:cstheme="minorHAnsi"/>
          <w:szCs w:val="24"/>
          <w:lang w:eastAsia="en-US"/>
        </w:rPr>
      </w:pPr>
      <w:r w:rsidRPr="00B353D7">
        <w:rPr>
          <w:rFonts w:eastAsia="Times New Roman" w:cstheme="minorHAnsi"/>
          <w:szCs w:val="24"/>
          <w:lang w:eastAsia="en-US"/>
        </w:rPr>
        <w:t xml:space="preserve">As a former economist and attorney for the Office of Enforcement for the Federal Energy Regulatory Commission (FERC), </w:t>
      </w:r>
      <w:r w:rsidR="00020EB1">
        <w:rPr>
          <w:rFonts w:eastAsia="Times New Roman" w:cstheme="minorHAnsi"/>
          <w:szCs w:val="24"/>
          <w:lang w:eastAsia="en-US"/>
        </w:rPr>
        <w:t>Dr. Ledgerwood</w:t>
      </w:r>
      <w:r w:rsidR="00020EB1" w:rsidRPr="00B353D7">
        <w:rPr>
          <w:rFonts w:eastAsia="Times New Roman" w:cstheme="minorHAnsi"/>
          <w:szCs w:val="24"/>
          <w:lang w:eastAsia="en-US"/>
        </w:rPr>
        <w:t xml:space="preserve"> </w:t>
      </w:r>
      <w:r w:rsidRPr="00B353D7">
        <w:rPr>
          <w:rFonts w:eastAsia="Times New Roman" w:cstheme="minorHAnsi"/>
          <w:szCs w:val="24"/>
          <w:lang w:eastAsia="en-US"/>
        </w:rPr>
        <w:t>evaluated manipulative behavior within and across wholesale electricity and natural gas markets and assisted the agency’s enforcement actions against Energy Transfer Partners L.P., Amaranth Advisors LLC, Constellation Energy Commodities Group, and several other investigations. He led the agency’s pilot project for energy market surveillance of wholesale natural gas and electricity markets, a prelude to the creation of the Division of Analytics and Surveillance. Based on this experience, he developed an analytic framework for detecting and analyzing manipulative behavior, which has been published extensively in academic, legal, and trade journals and is used as the foundation for compliance, surveillance, and to support or defend against legal actions brought under fraud-based or “artificial” price anti-manipulation rules or the antitrust laws.</w:t>
      </w:r>
    </w:p>
    <w:p w14:paraId="553BF715" w14:textId="1A20405C" w:rsidR="00B353D7" w:rsidRPr="00B353D7" w:rsidRDefault="00020EB1" w:rsidP="00C95F5C">
      <w:pPr>
        <w:shd w:val="clear" w:color="auto" w:fill="FFFFFF"/>
        <w:spacing w:before="120" w:after="120" w:line="276" w:lineRule="auto"/>
        <w:rPr>
          <w:rFonts w:eastAsia="Times New Roman" w:cstheme="minorHAnsi"/>
          <w:szCs w:val="24"/>
          <w:lang w:eastAsia="en-US"/>
        </w:rPr>
      </w:pPr>
      <w:r>
        <w:rPr>
          <w:rFonts w:eastAsia="Times New Roman" w:cstheme="minorHAnsi"/>
          <w:szCs w:val="24"/>
          <w:lang w:eastAsia="en-US"/>
        </w:rPr>
        <w:t>Dr. Ledgerwood</w:t>
      </w:r>
      <w:r w:rsidRPr="00B353D7">
        <w:rPr>
          <w:rFonts w:eastAsia="Times New Roman" w:cstheme="minorHAnsi"/>
          <w:szCs w:val="24"/>
          <w:lang w:eastAsia="en-US"/>
        </w:rPr>
        <w:t xml:space="preserve"> </w:t>
      </w:r>
      <w:r w:rsidR="00B353D7" w:rsidRPr="00B353D7">
        <w:rPr>
          <w:rFonts w:eastAsia="Times New Roman" w:cstheme="minorHAnsi"/>
          <w:szCs w:val="24"/>
          <w:lang w:eastAsia="en-US"/>
        </w:rPr>
        <w:t>has testified as an expert witness in federal court and before state utility commissions, and has filed expert reports in enforcement actions, administrative proceedings, and litigation before the FERC, state commissions, US Court of Federal Claims, US Federal District Court, and the Queen’s Bench in Alberta, Canada. As an Adjunct Professor, he has taught undergraduate, graduate, and legal courses in microeconomic theory, law and economics, regulation, antitrust, and contractual/tortious remedies at the University of Oklahoma Department of Economics, College of Law, and Price College of Business. He also served as Affiliated Faculty at the Georgetown University Public Policy Institute.</w:t>
      </w:r>
    </w:p>
    <w:p w14:paraId="117149E9" w14:textId="708EE0FC" w:rsidR="00501DBE" w:rsidRPr="00501DBE" w:rsidRDefault="00501DBE" w:rsidP="00CB1AB4">
      <w:pPr>
        <w:pStyle w:val="Heading5"/>
      </w:pPr>
      <w:r w:rsidRPr="00501DBE">
        <w:lastRenderedPageBreak/>
        <w:t>AREAS OF EXPERTISE</w:t>
      </w:r>
    </w:p>
    <w:p w14:paraId="4D8832B7" w14:textId="7F952748" w:rsidR="00ED1018" w:rsidRDefault="00ED1018" w:rsidP="00261470">
      <w:pPr>
        <w:pStyle w:val="ListParagraph"/>
        <w:spacing w:before="0"/>
        <w:rPr>
          <w:lang w:val="en-CA"/>
        </w:rPr>
      </w:pPr>
      <w:r>
        <w:rPr>
          <w:lang w:val="en-CA"/>
        </w:rPr>
        <w:t>Regulatory Investigations, Enforcement &amp; Litigation</w:t>
      </w:r>
    </w:p>
    <w:p w14:paraId="422D2452" w14:textId="7E2475C7" w:rsidR="00501DBE" w:rsidRDefault="00816B9E" w:rsidP="00261470">
      <w:pPr>
        <w:pStyle w:val="ListParagraph"/>
        <w:spacing w:before="0"/>
        <w:rPr>
          <w:lang w:val="en-CA"/>
        </w:rPr>
      </w:pPr>
      <w:r>
        <w:rPr>
          <w:lang w:val="en-CA"/>
        </w:rPr>
        <w:t>Electricity</w:t>
      </w:r>
      <w:r w:rsidR="00BF5763">
        <w:rPr>
          <w:lang w:val="en-CA"/>
        </w:rPr>
        <w:t xml:space="preserve"> Litigation &amp; Regulatory Disputes</w:t>
      </w:r>
    </w:p>
    <w:p w14:paraId="0C014091" w14:textId="6DAF630B" w:rsidR="00916D6D" w:rsidRDefault="00634B5F" w:rsidP="00261470">
      <w:pPr>
        <w:pStyle w:val="ListParagraph"/>
        <w:spacing w:before="0"/>
        <w:rPr>
          <w:lang w:val="en-CA"/>
        </w:rPr>
      </w:pPr>
      <w:r w:rsidRPr="00634B5F">
        <w:rPr>
          <w:lang w:val="en-CA"/>
        </w:rPr>
        <w:t>Electricity Wholesale Markets &amp; Planning</w:t>
      </w:r>
    </w:p>
    <w:p w14:paraId="63D3CE91" w14:textId="6765BAE7" w:rsidR="003B2811" w:rsidRDefault="005747E6" w:rsidP="00FE1090">
      <w:pPr>
        <w:pStyle w:val="ListParagraph"/>
        <w:spacing w:before="0"/>
        <w:rPr>
          <w:lang w:val="en-CA"/>
        </w:rPr>
      </w:pPr>
      <w:r>
        <w:rPr>
          <w:lang w:val="en-CA"/>
        </w:rPr>
        <w:t>Antitrust, Competition a</w:t>
      </w:r>
      <w:r w:rsidRPr="006E1CFB">
        <w:rPr>
          <w:lang w:val="en-CA"/>
        </w:rPr>
        <w:t>nd M&amp;A Analysis</w:t>
      </w:r>
    </w:p>
    <w:p w14:paraId="1CF50C63" w14:textId="033B1A4B" w:rsidR="004D15D8" w:rsidRPr="00FE1090" w:rsidRDefault="00A40A8B" w:rsidP="00FE1090">
      <w:pPr>
        <w:pStyle w:val="ListParagraph"/>
        <w:spacing w:before="0"/>
        <w:rPr>
          <w:lang w:val="en-CA"/>
        </w:rPr>
      </w:pPr>
      <w:r w:rsidRPr="00A40A8B">
        <w:rPr>
          <w:lang w:val="en-CA"/>
        </w:rPr>
        <w:t>Ta</w:t>
      </w:r>
      <w:r w:rsidR="00916D6D">
        <w:rPr>
          <w:lang w:val="en-CA"/>
        </w:rPr>
        <w:t>x Controversy</w:t>
      </w:r>
      <w:r w:rsidR="005B6A1B">
        <w:rPr>
          <w:lang w:val="en-CA"/>
        </w:rPr>
        <w:t xml:space="preserve"> and Contract</w:t>
      </w:r>
      <w:r w:rsidR="005747E6">
        <w:rPr>
          <w:lang w:val="en-CA"/>
        </w:rPr>
        <w:t>ual</w:t>
      </w:r>
      <w:r w:rsidR="005B6A1B">
        <w:rPr>
          <w:lang w:val="en-CA"/>
        </w:rPr>
        <w:t xml:space="preserve"> Damages</w:t>
      </w:r>
    </w:p>
    <w:p w14:paraId="51BAA177" w14:textId="77777777" w:rsidR="00501DBE" w:rsidRPr="00501DBE" w:rsidRDefault="00501DBE" w:rsidP="00CB1AB4">
      <w:pPr>
        <w:pStyle w:val="Heading5"/>
      </w:pPr>
      <w:r w:rsidRPr="00501DBE">
        <w:t>EDUCATION</w:t>
      </w:r>
    </w:p>
    <w:p w14:paraId="7FD12672" w14:textId="40474E45" w:rsidR="004C0191" w:rsidRDefault="001A4B6B" w:rsidP="00805781">
      <w:pPr>
        <w:pStyle w:val="ListParagraph"/>
        <w:spacing w:before="0" w:after="120"/>
        <w:rPr>
          <w:lang w:val="en-CA"/>
        </w:rPr>
      </w:pPr>
      <w:r>
        <w:rPr>
          <w:b/>
          <w:lang w:val="en-CA"/>
        </w:rPr>
        <w:t>The University of Texas at Austin</w:t>
      </w:r>
      <w:r w:rsidR="00B86FF8">
        <w:rPr>
          <w:lang w:val="en-CA"/>
        </w:rPr>
        <w:br/>
      </w:r>
      <w:r>
        <w:rPr>
          <w:lang w:val="en-CA"/>
        </w:rPr>
        <w:t>JD</w:t>
      </w:r>
    </w:p>
    <w:p w14:paraId="15BCE9EA" w14:textId="21A4A528" w:rsidR="000F0D0B" w:rsidRPr="004C0191" w:rsidRDefault="001A4B6B" w:rsidP="00805781">
      <w:pPr>
        <w:pStyle w:val="ListParagraph"/>
        <w:spacing w:before="0"/>
        <w:rPr>
          <w:lang w:val="en-CA"/>
        </w:rPr>
      </w:pPr>
      <w:r>
        <w:rPr>
          <w:b/>
          <w:lang w:val="en-CA"/>
        </w:rPr>
        <w:t>The University of Oklahoma</w:t>
      </w:r>
      <w:r w:rsidR="000F0D0B">
        <w:rPr>
          <w:lang w:val="en-CA"/>
        </w:rPr>
        <w:br/>
      </w:r>
      <w:r>
        <w:rPr>
          <w:lang w:val="en-CA"/>
        </w:rPr>
        <w:t>BA, MA, and PhD in Economics</w:t>
      </w:r>
      <w:r w:rsidR="000F0D0B" w:rsidRPr="00B86FF8">
        <w:rPr>
          <w:lang w:val="en-CA"/>
        </w:rPr>
        <w:t xml:space="preserve"> </w:t>
      </w:r>
    </w:p>
    <w:p w14:paraId="0B666B49" w14:textId="77777777" w:rsidR="00536AB7" w:rsidRPr="00BF6870" w:rsidRDefault="00C70CD8" w:rsidP="00CB1AB4">
      <w:pPr>
        <w:pStyle w:val="Heading5"/>
      </w:pPr>
      <w:r w:rsidRPr="00BF6870">
        <w:t>PROFESSIONAL EXPERIENCE</w:t>
      </w:r>
    </w:p>
    <w:p w14:paraId="512A9552" w14:textId="12F623A8" w:rsidR="00DE68FE" w:rsidRDefault="00D215CD" w:rsidP="00D215CD">
      <w:pPr>
        <w:pStyle w:val="ListParagraph"/>
      </w:pPr>
      <w:r w:rsidRPr="00D215CD">
        <w:rPr>
          <w:b/>
        </w:rPr>
        <w:t>The Brattle Group</w:t>
      </w:r>
      <w:r w:rsidR="00CB1AB4">
        <w:rPr>
          <w:b/>
        </w:rPr>
        <w:t xml:space="preserve"> (</w:t>
      </w:r>
      <w:r w:rsidR="00BB0834">
        <w:rPr>
          <w:b/>
        </w:rPr>
        <w:t>2011</w:t>
      </w:r>
      <w:r w:rsidR="00CB1AB4">
        <w:rPr>
          <w:b/>
        </w:rPr>
        <w:t>–Present)</w:t>
      </w:r>
      <w:r>
        <w:br/>
      </w:r>
      <w:r w:rsidR="00BB0834">
        <w:t>Principal</w:t>
      </w:r>
      <w:r w:rsidR="000F0D0B">
        <w:t xml:space="preserve"> (</w:t>
      </w:r>
      <w:r w:rsidR="00D37150">
        <w:t>2014</w:t>
      </w:r>
      <w:r w:rsidR="00CB1AB4">
        <w:t>–Present)</w:t>
      </w:r>
      <w:r w:rsidR="00D37150">
        <w:t>, Senior Consultant (2011-2013)</w:t>
      </w:r>
    </w:p>
    <w:p w14:paraId="3AC30895" w14:textId="53AD67B0" w:rsidR="00C172AB" w:rsidRDefault="004B32CC" w:rsidP="00DE68FE">
      <w:pPr>
        <w:ind w:left="360"/>
      </w:pPr>
      <w:r>
        <w:t>Regulatory Investigations, Enforcement, and Litigation Practice Chair (2019-Present)</w:t>
      </w:r>
    </w:p>
    <w:p w14:paraId="732E889D" w14:textId="0BC34FCC" w:rsidR="00D215CD" w:rsidRDefault="00DE68FE" w:rsidP="00DE68FE">
      <w:pPr>
        <w:ind w:left="360"/>
      </w:pPr>
      <w:r>
        <w:t>Associate Development Committee Chair (2018–</w:t>
      </w:r>
      <w:r w:rsidR="00C172AB">
        <w:t>2022</w:t>
      </w:r>
      <w:r>
        <w:t>)</w:t>
      </w:r>
      <w:r w:rsidR="00CB1AB4">
        <w:br/>
      </w:r>
      <w:r w:rsidR="00DF4F6E">
        <w:t>Washington, DC Office Director</w:t>
      </w:r>
      <w:r w:rsidR="00D215CD">
        <w:t xml:space="preserve"> (</w:t>
      </w:r>
      <w:r w:rsidR="00DF4F6E">
        <w:t>2018</w:t>
      </w:r>
      <w:r w:rsidR="00D215CD">
        <w:t>–</w:t>
      </w:r>
      <w:r w:rsidR="00DF4F6E">
        <w:t>2022</w:t>
      </w:r>
      <w:r w:rsidR="00D215CD">
        <w:t>)</w:t>
      </w:r>
    </w:p>
    <w:p w14:paraId="5ED8F3A3" w14:textId="5197898A" w:rsidR="00C172AB" w:rsidRDefault="00C172AB" w:rsidP="00DE68FE">
      <w:pPr>
        <w:ind w:left="360"/>
      </w:pPr>
      <w:r w:rsidRPr="00DE68FE">
        <w:t>Management Committee Member (2020–</w:t>
      </w:r>
      <w:r>
        <w:t>2021</w:t>
      </w:r>
      <w:r w:rsidRPr="00DE68FE">
        <w:t>)</w:t>
      </w:r>
    </w:p>
    <w:p w14:paraId="5B3BD89C" w14:textId="6EDDAA7D" w:rsidR="000F0D0B" w:rsidRDefault="00BB0834" w:rsidP="000F0D0B">
      <w:pPr>
        <w:pStyle w:val="ListParagraph"/>
      </w:pPr>
      <w:r>
        <w:rPr>
          <w:b/>
        </w:rPr>
        <w:t>Federal Energy Regulatory Commission, Office of Enforcement</w:t>
      </w:r>
      <w:r w:rsidR="000F0D0B">
        <w:rPr>
          <w:b/>
        </w:rPr>
        <w:t xml:space="preserve"> (</w:t>
      </w:r>
      <w:r>
        <w:rPr>
          <w:b/>
        </w:rPr>
        <w:t>2008</w:t>
      </w:r>
      <w:r w:rsidR="000F0D0B" w:rsidRPr="00CB1AB4">
        <w:rPr>
          <w:b/>
        </w:rPr>
        <w:t>–</w:t>
      </w:r>
      <w:r>
        <w:rPr>
          <w:b/>
        </w:rPr>
        <w:t>2011</w:t>
      </w:r>
      <w:r w:rsidR="000F0D0B" w:rsidRPr="00CB1AB4">
        <w:rPr>
          <w:b/>
        </w:rPr>
        <w:t>)</w:t>
      </w:r>
    </w:p>
    <w:p w14:paraId="21F1AFF7" w14:textId="3D58F2D3" w:rsidR="00D215CD" w:rsidRDefault="00BB0834" w:rsidP="00CB1AB4">
      <w:pPr>
        <w:pStyle w:val="ListParagraph"/>
      </w:pPr>
      <w:r>
        <w:rPr>
          <w:b/>
        </w:rPr>
        <w:t>C.H. Guernsey &amp; Company</w:t>
      </w:r>
      <w:r w:rsidR="00CB1AB4">
        <w:rPr>
          <w:b/>
        </w:rPr>
        <w:t xml:space="preserve"> (</w:t>
      </w:r>
      <w:r w:rsidR="00DF4F6E">
        <w:rPr>
          <w:b/>
        </w:rPr>
        <w:t>1997</w:t>
      </w:r>
      <w:r w:rsidR="00CB1AB4" w:rsidRPr="00CB1AB4">
        <w:rPr>
          <w:b/>
        </w:rPr>
        <w:t>–</w:t>
      </w:r>
      <w:r w:rsidR="00DF4F6E">
        <w:rPr>
          <w:b/>
        </w:rPr>
        <w:t>1998</w:t>
      </w:r>
      <w:r w:rsidR="00CB1AB4" w:rsidRPr="00CB1AB4">
        <w:rPr>
          <w:b/>
        </w:rPr>
        <w:t>)</w:t>
      </w:r>
    </w:p>
    <w:p w14:paraId="3B826A68" w14:textId="7FAFAABC" w:rsidR="00B94AF8" w:rsidRPr="00B94AF8" w:rsidRDefault="00B94AF8" w:rsidP="00B94AF8">
      <w:pPr>
        <w:pStyle w:val="Heading5"/>
      </w:pPr>
      <w:r w:rsidRPr="00B94AF8">
        <w:t>TEaching EXPERIENCE</w:t>
      </w:r>
    </w:p>
    <w:p w14:paraId="25CC6B8E" w14:textId="59110FA3" w:rsidR="00B94AF8" w:rsidRDefault="00B94AF8" w:rsidP="00B94AF8">
      <w:pPr>
        <w:pStyle w:val="ListParagraph"/>
      </w:pPr>
      <w:r>
        <w:rPr>
          <w:b/>
        </w:rPr>
        <w:t>Georgetown University (2010–2012)</w:t>
      </w:r>
      <w:r>
        <w:br/>
        <w:t>Affiliated Faculty, Georgetown Public Policy Institute</w:t>
      </w:r>
    </w:p>
    <w:p w14:paraId="2E46F975" w14:textId="29E3C779" w:rsidR="00B94AF8" w:rsidRDefault="00B94AF8" w:rsidP="00BB1017">
      <w:pPr>
        <w:pStyle w:val="ListParagraph"/>
      </w:pPr>
      <w:r>
        <w:rPr>
          <w:b/>
        </w:rPr>
        <w:t>University of Oklahoma (1985</w:t>
      </w:r>
      <w:r w:rsidRPr="00CB1AB4">
        <w:rPr>
          <w:b/>
        </w:rPr>
        <w:t>–</w:t>
      </w:r>
      <w:r>
        <w:rPr>
          <w:b/>
        </w:rPr>
        <w:t>2011</w:t>
      </w:r>
      <w:r w:rsidRPr="00CB1AB4">
        <w:rPr>
          <w:b/>
        </w:rPr>
        <w:t>)</w:t>
      </w:r>
      <w:r>
        <w:br/>
        <w:t>Adjunct Professor, Department of Advanced Programs (2001–2011)</w:t>
      </w:r>
    </w:p>
    <w:p w14:paraId="059039E4" w14:textId="498D1344" w:rsidR="00B94AF8" w:rsidRDefault="00B94AF8" w:rsidP="00B94AF8">
      <w:pPr>
        <w:ind w:left="360"/>
      </w:pPr>
      <w:r>
        <w:t>Adjunct Professor, Department of Economics (1995–2011)</w:t>
      </w:r>
    </w:p>
    <w:p w14:paraId="4428E328" w14:textId="333CCAE4" w:rsidR="00B94AF8" w:rsidRDefault="00B94AF8" w:rsidP="00B94AF8">
      <w:pPr>
        <w:ind w:left="360"/>
      </w:pPr>
      <w:r>
        <w:t>Adjunct Professor of Law, School of Law (1995–1996)</w:t>
      </w:r>
    </w:p>
    <w:p w14:paraId="3E4069BD" w14:textId="13DF8130" w:rsidR="00B94AF8" w:rsidRDefault="00B94AF8" w:rsidP="00B94AF8">
      <w:pPr>
        <w:ind w:left="360"/>
      </w:pPr>
      <w:r>
        <w:t>Graduate Teaching Assistant, Department of Economics (1989–1995)</w:t>
      </w:r>
    </w:p>
    <w:p w14:paraId="006BCBCF" w14:textId="0B2EA926" w:rsidR="00B94AF8" w:rsidRDefault="00B94AF8" w:rsidP="00B94AF8">
      <w:pPr>
        <w:ind w:left="360"/>
      </w:pPr>
      <w:r>
        <w:t>Undergraduate Teaching Assistant, Department of Economics (1985–1986)</w:t>
      </w:r>
    </w:p>
    <w:p w14:paraId="26C561CA" w14:textId="77777777" w:rsidR="00294DF3" w:rsidRPr="00501DBE" w:rsidRDefault="00C70CD8" w:rsidP="00CB1AB4">
      <w:pPr>
        <w:pStyle w:val="Heading5"/>
      </w:pPr>
      <w:r>
        <w:lastRenderedPageBreak/>
        <w:t>SELECTED CONSULTING EXPERIENCE</w:t>
      </w:r>
    </w:p>
    <w:p w14:paraId="2AD4FDB5" w14:textId="75A84CC8" w:rsidR="005A09C6" w:rsidRPr="00BF6870" w:rsidRDefault="00027E18" w:rsidP="00B0071C">
      <w:pPr>
        <w:pStyle w:val="TitleOfficeLocation"/>
      </w:pPr>
      <w:r w:rsidRPr="00027E18">
        <w:t>Regulatory Investigations</w:t>
      </w:r>
      <w:r w:rsidR="00DC1D25">
        <w:t>/</w:t>
      </w:r>
      <w:r w:rsidRPr="00027E18">
        <w:t>Enforcement</w:t>
      </w:r>
      <w:r w:rsidR="00DC1D25">
        <w:t>/</w:t>
      </w:r>
      <w:r w:rsidRPr="00027E18">
        <w:t>Litigation</w:t>
      </w:r>
      <w:r w:rsidR="00DC1D25">
        <w:t xml:space="preserve"> (Manipulation)</w:t>
      </w:r>
    </w:p>
    <w:p w14:paraId="4815DE52" w14:textId="77777777" w:rsidR="005A09C6" w:rsidRPr="00950863" w:rsidRDefault="005A09C6" w:rsidP="00CD3821">
      <w:pPr>
        <w:pStyle w:val="TitleOfficeLocation"/>
        <w:ind w:left="450"/>
        <w:rPr>
          <w:i/>
        </w:rPr>
      </w:pPr>
      <w:r w:rsidRPr="00C119AF">
        <w:rPr>
          <w:i/>
          <w:color w:val="002B54" w:themeColor="text2"/>
        </w:rPr>
        <w:t>Defense against Allegations of Market Manipulation</w:t>
      </w:r>
    </w:p>
    <w:p w14:paraId="11081A74" w14:textId="0691590C" w:rsidR="005A09C6" w:rsidRPr="005D23AC" w:rsidRDefault="005A09C6" w:rsidP="00EB03CE">
      <w:pPr>
        <w:pStyle w:val="ListParagraph"/>
        <w:numPr>
          <w:ilvl w:val="0"/>
          <w:numId w:val="44"/>
        </w:numPr>
        <w:spacing w:before="0" w:after="60" w:line="240" w:lineRule="auto"/>
        <w:ind w:left="990"/>
        <w:rPr>
          <w:rFonts w:cstheme="minorHAnsi"/>
          <w:szCs w:val="24"/>
        </w:rPr>
      </w:pPr>
      <w:r w:rsidRPr="005D23AC">
        <w:rPr>
          <w:rFonts w:cstheme="minorHAnsi"/>
          <w:b/>
          <w:szCs w:val="24"/>
        </w:rPr>
        <w:t>Support of Client under Investigation.</w:t>
      </w:r>
      <w:r w:rsidR="004B1822" w:rsidRPr="005D23AC">
        <w:rPr>
          <w:rFonts w:cstheme="minorHAnsi"/>
          <w:b/>
          <w:szCs w:val="24"/>
        </w:rPr>
        <w:t xml:space="preserve"> </w:t>
      </w:r>
      <w:r w:rsidRPr="005D23AC">
        <w:rPr>
          <w:rFonts w:cstheme="minorHAnsi"/>
          <w:szCs w:val="24"/>
        </w:rPr>
        <w:t>Assisting counsel for a market participant in a non-public investigation of demand response into an RTO.</w:t>
      </w:r>
      <w:r w:rsidR="004B1822" w:rsidRPr="005D23AC">
        <w:rPr>
          <w:rFonts w:cstheme="minorHAnsi"/>
          <w:szCs w:val="24"/>
        </w:rPr>
        <w:t xml:space="preserve"> </w:t>
      </w:r>
      <w:r w:rsidRPr="005D23AC">
        <w:rPr>
          <w:rFonts w:cstheme="minorHAnsi"/>
          <w:szCs w:val="24"/>
        </w:rPr>
        <w:t>Analysis is focusing on whether the offers reflected attempted gaming of market rules or otherwise reflect an impermissible effort to obtain payments in a manner that might violate the tariff or the agency’s anti-manipulation rule.</w:t>
      </w:r>
    </w:p>
    <w:p w14:paraId="1111C301" w14:textId="6891F7D8" w:rsidR="00C55E76" w:rsidRPr="005D23AC" w:rsidRDefault="00C55E76" w:rsidP="00C55E76">
      <w:pPr>
        <w:pStyle w:val="ListParagraph"/>
        <w:numPr>
          <w:ilvl w:val="0"/>
          <w:numId w:val="44"/>
        </w:numPr>
        <w:spacing w:before="0" w:after="60" w:line="240" w:lineRule="auto"/>
        <w:ind w:left="990"/>
        <w:rPr>
          <w:rFonts w:cstheme="minorHAnsi"/>
          <w:szCs w:val="24"/>
        </w:rPr>
      </w:pPr>
      <w:r w:rsidRPr="005D23AC">
        <w:rPr>
          <w:rFonts w:cstheme="minorHAnsi"/>
          <w:b/>
          <w:szCs w:val="24"/>
        </w:rPr>
        <w:t>Support of Client under Investigation.</w:t>
      </w:r>
      <w:r w:rsidRPr="005D23AC">
        <w:rPr>
          <w:rFonts w:cstheme="minorHAnsi"/>
          <w:szCs w:val="24"/>
        </w:rPr>
        <w:t xml:space="preserve">  Assisting utility under investigation for alleged alteration of its transmission line ratings to benefit the value of its financial derivative positions tied to transmission congestion.  Analysis focuses on whether the </w:t>
      </w:r>
      <w:r w:rsidR="008C6C63" w:rsidRPr="005D23AC">
        <w:rPr>
          <w:rFonts w:cstheme="minorHAnsi"/>
          <w:szCs w:val="24"/>
        </w:rPr>
        <w:t>financial</w:t>
      </w:r>
      <w:r w:rsidRPr="005D23AC">
        <w:rPr>
          <w:rFonts w:cstheme="minorHAnsi"/>
          <w:szCs w:val="24"/>
        </w:rPr>
        <w:t xml:space="preserve"> positions were hedges to the congestion payments received, as well as a but-for analysis of what the payments would have been absent the transmission derates.</w:t>
      </w:r>
    </w:p>
    <w:p w14:paraId="7EEB8D02" w14:textId="049A4210" w:rsidR="005A09C6" w:rsidRPr="005D23AC" w:rsidRDefault="005A09C6" w:rsidP="00EB03CE">
      <w:pPr>
        <w:pStyle w:val="BGBulletedList"/>
        <w:numPr>
          <w:ilvl w:val="0"/>
          <w:numId w:val="44"/>
        </w:numPr>
        <w:ind w:left="990"/>
        <w:jc w:val="left"/>
        <w:rPr>
          <w:rFonts w:asciiTheme="minorHAnsi" w:hAnsiTheme="minorHAnsi" w:cstheme="minorHAnsi"/>
          <w:color w:val="auto"/>
          <w:sz w:val="24"/>
        </w:rPr>
      </w:pPr>
      <w:r w:rsidRPr="005D23AC">
        <w:rPr>
          <w:rFonts w:asciiTheme="minorHAnsi" w:hAnsiTheme="minorHAnsi" w:cstheme="minorHAnsi"/>
          <w:b/>
          <w:color w:val="auto"/>
          <w:sz w:val="24"/>
        </w:rPr>
        <w:t>Support of Client under Investigation.</w:t>
      </w:r>
      <w:r w:rsidR="004B1822" w:rsidRPr="005D23AC">
        <w:rPr>
          <w:rFonts w:asciiTheme="minorHAnsi" w:hAnsiTheme="minorHAnsi" w:cstheme="minorHAnsi"/>
          <w:b/>
          <w:color w:val="auto"/>
          <w:sz w:val="24"/>
        </w:rPr>
        <w:t xml:space="preserve"> </w:t>
      </w:r>
      <w:r w:rsidR="00831855" w:rsidRPr="005D23AC">
        <w:rPr>
          <w:rFonts w:asciiTheme="minorHAnsi" w:hAnsiTheme="minorHAnsi" w:cstheme="minorHAnsi"/>
          <w:color w:val="auto"/>
          <w:sz w:val="24"/>
        </w:rPr>
        <w:t xml:space="preserve">Assisting </w:t>
      </w:r>
      <w:r w:rsidRPr="005D23AC">
        <w:rPr>
          <w:rFonts w:asciiTheme="minorHAnsi" w:hAnsiTheme="minorHAnsi" w:cstheme="minorHAnsi"/>
          <w:color w:val="auto"/>
          <w:sz w:val="24"/>
        </w:rPr>
        <w:t>generator and its counsel with a non-public investigation of its unit offers of energy into an RTO.</w:t>
      </w:r>
      <w:r w:rsidR="004B1822" w:rsidRPr="005D23AC">
        <w:rPr>
          <w:rFonts w:asciiTheme="minorHAnsi" w:hAnsiTheme="minorHAnsi" w:cstheme="minorHAnsi"/>
          <w:color w:val="auto"/>
          <w:sz w:val="24"/>
        </w:rPr>
        <w:t xml:space="preserve"> </w:t>
      </w:r>
      <w:r w:rsidRPr="005D23AC">
        <w:rPr>
          <w:rFonts w:asciiTheme="minorHAnsi" w:hAnsiTheme="minorHAnsi" w:cstheme="minorHAnsi"/>
          <w:color w:val="auto"/>
          <w:sz w:val="24"/>
        </w:rPr>
        <w:t>Analysis is focusing on whether the offers reflected attempted withholding or the attempt to garner out-of-market payments in a manner that might violate the agency’s anti-manipulation rule.</w:t>
      </w:r>
    </w:p>
    <w:p w14:paraId="2D8D80C3" w14:textId="1024BA77" w:rsidR="005A09C6" w:rsidRPr="005D23AC" w:rsidRDefault="005A09C6" w:rsidP="00EB03CE">
      <w:pPr>
        <w:pStyle w:val="ListParagraph"/>
        <w:numPr>
          <w:ilvl w:val="0"/>
          <w:numId w:val="44"/>
        </w:numPr>
        <w:spacing w:before="0" w:after="60" w:line="240" w:lineRule="auto"/>
        <w:ind w:left="990"/>
        <w:rPr>
          <w:rFonts w:cstheme="minorHAnsi"/>
          <w:szCs w:val="24"/>
        </w:rPr>
      </w:pPr>
      <w:r w:rsidRPr="005D23AC">
        <w:rPr>
          <w:rFonts w:cstheme="minorHAnsi"/>
          <w:b/>
          <w:szCs w:val="24"/>
        </w:rPr>
        <w:t>Support of Client under Investigation.</w:t>
      </w:r>
      <w:r w:rsidR="004B1822" w:rsidRPr="005D23AC">
        <w:rPr>
          <w:rFonts w:cstheme="minorHAnsi"/>
          <w:b/>
          <w:szCs w:val="24"/>
        </w:rPr>
        <w:t xml:space="preserve"> </w:t>
      </w:r>
      <w:r w:rsidR="00C55E76" w:rsidRPr="005D23AC">
        <w:rPr>
          <w:rFonts w:cstheme="minorHAnsi"/>
          <w:szCs w:val="24"/>
        </w:rPr>
        <w:t>Assisted</w:t>
      </w:r>
      <w:r w:rsidRPr="005D23AC">
        <w:rPr>
          <w:rFonts w:cstheme="minorHAnsi"/>
          <w:szCs w:val="24"/>
        </w:rPr>
        <w:t xml:space="preserve"> firm suspected of fraudulently acquiring a large portfolio of financial transmission rights (FTRs) in a manner that would violate various fraud-based rules.</w:t>
      </w:r>
      <w:r w:rsidR="004B1822" w:rsidRPr="005D23AC">
        <w:rPr>
          <w:rFonts w:cstheme="minorHAnsi"/>
          <w:szCs w:val="24"/>
        </w:rPr>
        <w:t xml:space="preserve"> </w:t>
      </w:r>
      <w:r w:rsidRPr="005D23AC">
        <w:rPr>
          <w:rFonts w:cstheme="minorHAnsi"/>
          <w:szCs w:val="24"/>
        </w:rPr>
        <w:t>The analysis focuses on whether the firm acquired these instruments in good faith and in a manner consistent with a stand-alone legitimate business purpose.</w:t>
      </w:r>
    </w:p>
    <w:p w14:paraId="28917635" w14:textId="53B841FC"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Client Defense to Manipulation Claims.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Assisted a natural gas firm accused of withholding natural gas capacity to benefit the value of its affiliated generation resources.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Effort centered on testing the robustness of re</w:t>
      </w:r>
      <w:r w:rsidR="00BF6870" w:rsidRPr="005D23AC">
        <w:rPr>
          <w:rFonts w:asciiTheme="minorHAnsi" w:hAnsiTheme="minorHAnsi" w:cstheme="minorHAnsi"/>
          <w:color w:val="auto"/>
          <w:sz w:val="24"/>
          <w:szCs w:val="24"/>
        </w:rPr>
        <w:t xml:space="preserve">sults produced from a series of </w:t>
      </w:r>
      <w:r w:rsidRPr="005D23AC">
        <w:rPr>
          <w:rFonts w:asciiTheme="minorHAnsi" w:hAnsiTheme="minorHAnsi" w:cstheme="minorHAnsi"/>
          <w:color w:val="auto"/>
          <w:sz w:val="24"/>
          <w:szCs w:val="24"/>
        </w:rPr>
        <w:t>econometric analyses purportedly used to support allegations of cross-market manipulation.</w:t>
      </w:r>
    </w:p>
    <w:p w14:paraId="6F70A006" w14:textId="4104CA31"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Client under Investigation.</w:t>
      </w:r>
      <w:r w:rsidR="004B1822" w:rsidRPr="005D23AC">
        <w:rPr>
          <w:rFonts w:asciiTheme="minorHAnsi" w:hAnsiTheme="minorHAnsi" w:cstheme="minorHAnsi"/>
          <w:b/>
          <w:color w:val="auto"/>
          <w:sz w:val="24"/>
          <w:szCs w:val="24"/>
        </w:rPr>
        <w:t xml:space="preserve"> </w:t>
      </w:r>
      <w:r w:rsidRPr="005D23AC">
        <w:rPr>
          <w:rFonts w:asciiTheme="minorHAnsi" w:hAnsiTheme="minorHAnsi" w:cstheme="minorHAnsi"/>
          <w:color w:val="auto"/>
          <w:sz w:val="24"/>
          <w:szCs w:val="24"/>
        </w:rPr>
        <w:t>Assisted an electricity trader accused of manipulating the value of financial transmission rights using physical transactions claimed by the agency to be uneconomic.</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Analysis used trade data, agency findings and other available data to evaluate the trader’s liability and potential harm given the agency’s “best case” against them. A framework-based analysis was used to examine available economic and behavioral evidence to evaluate assertions as to the manipulation’s components and the trader’s intent.</w:t>
      </w:r>
    </w:p>
    <w:p w14:paraId="4EB7FF0A" w14:textId="3B249D95"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Client Defense to Manipulation Claim.</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Provided support for client alleged to have economically withheld resources from a generation capacity market.</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Analysis determined whether the units were offered above cost (a prerequisite for withholding) and, if so, whether the withholding involved behavior that would violate the agency’s anti-manipulation rule.</w:t>
      </w:r>
    </w:p>
    <w:p w14:paraId="03BFFC07" w14:textId="4BE01825" w:rsidR="005A09C6" w:rsidRPr="005D23AC" w:rsidRDefault="005A09C6" w:rsidP="00EB03CE">
      <w:pPr>
        <w:pStyle w:val="BGBulletedList"/>
        <w:numPr>
          <w:ilvl w:val="0"/>
          <w:numId w:val="44"/>
        </w:numPr>
        <w:ind w:left="990"/>
        <w:jc w:val="left"/>
        <w:rPr>
          <w:rFonts w:asciiTheme="minorHAnsi" w:hAnsiTheme="minorHAnsi" w:cstheme="minorHAnsi"/>
          <w:color w:val="auto"/>
          <w:sz w:val="24"/>
        </w:rPr>
      </w:pPr>
      <w:r w:rsidRPr="005D23AC">
        <w:rPr>
          <w:rFonts w:asciiTheme="minorHAnsi" w:hAnsiTheme="minorHAnsi" w:cstheme="minorHAnsi"/>
          <w:b/>
          <w:color w:val="auto"/>
          <w:sz w:val="24"/>
        </w:rPr>
        <w:lastRenderedPageBreak/>
        <w:t>Successful Defense of Client under Investigation.</w:t>
      </w:r>
      <w:r w:rsidR="004B1822" w:rsidRPr="005D23AC">
        <w:rPr>
          <w:rFonts w:asciiTheme="minorHAnsi" w:hAnsiTheme="minorHAnsi" w:cstheme="minorHAnsi"/>
          <w:b/>
          <w:color w:val="auto"/>
          <w:sz w:val="24"/>
        </w:rPr>
        <w:t xml:space="preserve"> </w:t>
      </w:r>
      <w:r w:rsidRPr="005D23AC">
        <w:rPr>
          <w:rFonts w:asciiTheme="minorHAnsi" w:hAnsiTheme="minorHAnsi" w:cstheme="minorHAnsi"/>
          <w:color w:val="auto"/>
          <w:sz w:val="24"/>
        </w:rPr>
        <w:t xml:space="preserve">Assisted a client under investigation for various physical power trades made across several </w:t>
      </w:r>
      <w:r w:rsidR="00B353D7" w:rsidRPr="005D23AC">
        <w:rPr>
          <w:rFonts w:asciiTheme="minorHAnsi" w:hAnsiTheme="minorHAnsi" w:cstheme="minorHAnsi"/>
          <w:color w:val="auto"/>
          <w:sz w:val="24"/>
        </w:rPr>
        <w:t>US</w:t>
      </w:r>
      <w:r w:rsidRPr="005D23AC">
        <w:rPr>
          <w:rFonts w:asciiTheme="minorHAnsi" w:hAnsiTheme="minorHAnsi" w:cstheme="minorHAnsi"/>
          <w:color w:val="auto"/>
          <w:sz w:val="24"/>
        </w:rPr>
        <w:t xml:space="preserve"> RTOs and the IESO.</w:t>
      </w:r>
      <w:r w:rsidR="004B1822" w:rsidRPr="005D23AC">
        <w:rPr>
          <w:rFonts w:asciiTheme="minorHAnsi" w:hAnsiTheme="minorHAnsi" w:cstheme="minorHAnsi"/>
          <w:color w:val="auto"/>
          <w:sz w:val="24"/>
        </w:rPr>
        <w:t xml:space="preserve"> </w:t>
      </w:r>
      <w:r w:rsidRPr="005D23AC">
        <w:rPr>
          <w:rFonts w:asciiTheme="minorHAnsi" w:hAnsiTheme="minorHAnsi" w:cstheme="minorHAnsi"/>
          <w:color w:val="auto"/>
          <w:sz w:val="24"/>
        </w:rPr>
        <w:t>The analyses presented to agency staff demonstrated that the flows were executed for their own stand-alone profitability and that there was no evidence of manipulative behavior or harm to the market, leading the agency to drop its investigation.</w:t>
      </w:r>
    </w:p>
    <w:p w14:paraId="77344067" w14:textId="229E99B6" w:rsidR="005A09C6" w:rsidRPr="005D23AC" w:rsidRDefault="005A09C6" w:rsidP="00EB03CE">
      <w:pPr>
        <w:pStyle w:val="BGBulletedList"/>
        <w:numPr>
          <w:ilvl w:val="0"/>
          <w:numId w:val="44"/>
        </w:numPr>
        <w:ind w:left="990"/>
        <w:jc w:val="left"/>
        <w:rPr>
          <w:rFonts w:asciiTheme="minorHAnsi" w:hAnsiTheme="minorHAnsi" w:cstheme="minorHAnsi"/>
          <w:color w:val="auto"/>
          <w:sz w:val="24"/>
        </w:rPr>
      </w:pPr>
      <w:r w:rsidRPr="005D23AC">
        <w:rPr>
          <w:rFonts w:asciiTheme="minorHAnsi" w:hAnsiTheme="minorHAnsi" w:cstheme="minorHAnsi"/>
          <w:b/>
          <w:color w:val="auto"/>
          <w:sz w:val="24"/>
        </w:rPr>
        <w:t>Assisted Internal Investigation.</w:t>
      </w:r>
      <w:r w:rsidR="004B1822" w:rsidRPr="005D23AC">
        <w:rPr>
          <w:rFonts w:asciiTheme="minorHAnsi" w:hAnsiTheme="minorHAnsi" w:cstheme="minorHAnsi"/>
          <w:b/>
          <w:color w:val="auto"/>
          <w:sz w:val="24"/>
        </w:rPr>
        <w:t xml:space="preserve"> </w:t>
      </w:r>
      <w:r w:rsidRPr="005D23AC">
        <w:rPr>
          <w:rFonts w:asciiTheme="minorHAnsi" w:hAnsiTheme="minorHAnsi" w:cstheme="minorHAnsi"/>
          <w:color w:val="auto"/>
          <w:sz w:val="24"/>
        </w:rPr>
        <w:t>Assisted a client concerned that various trades placed into an RTO over time could be questioned as “uneconomic” and thus fraudulent under the agencies’ market manipulation rules.</w:t>
      </w:r>
      <w:r w:rsidR="004B1822" w:rsidRPr="005D23AC">
        <w:rPr>
          <w:rFonts w:asciiTheme="minorHAnsi" w:hAnsiTheme="minorHAnsi" w:cstheme="minorHAnsi"/>
          <w:color w:val="auto"/>
          <w:sz w:val="24"/>
        </w:rPr>
        <w:t xml:space="preserve"> </w:t>
      </w:r>
      <w:r w:rsidRPr="005D23AC">
        <w:rPr>
          <w:rFonts w:asciiTheme="minorHAnsi" w:hAnsiTheme="minorHAnsi" w:cstheme="minorHAnsi"/>
          <w:color w:val="auto"/>
          <w:sz w:val="24"/>
        </w:rPr>
        <w:t>These transactions may have led to various financial benefits and/or out-of-market payments that could be alleged to be potential manipulation targets.</w:t>
      </w:r>
      <w:r w:rsidR="004B1822" w:rsidRPr="005D23AC">
        <w:rPr>
          <w:rFonts w:asciiTheme="minorHAnsi" w:hAnsiTheme="minorHAnsi" w:cstheme="minorHAnsi"/>
          <w:color w:val="auto"/>
          <w:sz w:val="24"/>
        </w:rPr>
        <w:t xml:space="preserve"> </w:t>
      </w:r>
      <w:r w:rsidRPr="005D23AC">
        <w:rPr>
          <w:rFonts w:asciiTheme="minorHAnsi" w:hAnsiTheme="minorHAnsi" w:cstheme="minorHAnsi"/>
          <w:color w:val="auto"/>
          <w:sz w:val="24"/>
        </w:rPr>
        <w:t>The analysis evaluated trading data to determine whether intentionally uneconomic trades were in fact placed into the market and, if so, whether those trades distorted market outcomes.</w:t>
      </w:r>
      <w:r w:rsidR="004B1822" w:rsidRPr="005D23AC">
        <w:rPr>
          <w:rFonts w:asciiTheme="minorHAnsi" w:hAnsiTheme="minorHAnsi" w:cstheme="minorHAnsi"/>
          <w:color w:val="auto"/>
          <w:sz w:val="24"/>
        </w:rPr>
        <w:t xml:space="preserve"> </w:t>
      </w:r>
      <w:r w:rsidRPr="005D23AC">
        <w:rPr>
          <w:rFonts w:asciiTheme="minorHAnsi" w:hAnsiTheme="minorHAnsi" w:cstheme="minorHAnsi"/>
          <w:color w:val="auto"/>
          <w:sz w:val="24"/>
        </w:rPr>
        <w:t>While no such trades were found, this analysis provided the client and its counsel with an understanding of the agency’s potential arguments against it and the potential liability involved.</w:t>
      </w:r>
    </w:p>
    <w:p w14:paraId="2A97A189" w14:textId="10BDF1FC"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Internal Investigation and Self-Report.</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Assisted client with analysis of generator offers that inadvertently violated tariff thresholds set for those units.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Analysis evaluated whether such events occurred, identified their cause, and determined if there were any market effects.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Client self-reported these results to the regulator, which closed its investigation of the matter.</w:t>
      </w:r>
    </w:p>
    <w:p w14:paraId="161CD0D3" w14:textId="4F8BADEE"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Defense to Market Manipulation Claims.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Assisted ETRACOM, LLC and trader Michael Rosenberg in defense against allegations of manipulation made by the FERC.</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Enforcement staff alleged the use of uneconomic convergence bids to manipulate the value of congestion revenue rights.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 xml:space="preserve">Analysis </w:t>
      </w:r>
      <w:r w:rsidR="00831855" w:rsidRPr="005D23AC">
        <w:rPr>
          <w:rFonts w:asciiTheme="minorHAnsi" w:hAnsiTheme="minorHAnsi" w:cstheme="minorHAnsi"/>
          <w:color w:val="auto"/>
          <w:sz w:val="24"/>
          <w:szCs w:val="24"/>
        </w:rPr>
        <w:t>show</w:t>
      </w:r>
      <w:r w:rsidRPr="005D23AC">
        <w:rPr>
          <w:rFonts w:asciiTheme="minorHAnsi" w:hAnsiTheme="minorHAnsi" w:cstheme="minorHAnsi"/>
          <w:color w:val="auto"/>
          <w:sz w:val="24"/>
          <w:szCs w:val="24"/>
        </w:rPr>
        <w:t>ed that ETRACOM engaged in the trades in pursuit of a legitimate hydroelectric trading strategy and not to benefit its financial positions, thus demonstrating that it had no manipulative intent.</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Case settled with no personal liability assessed to Mr. Rosenberg.</w:t>
      </w:r>
    </w:p>
    <w:p w14:paraId="6A83F023" w14:textId="3C9C5B94"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Client under Investigation.</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 xml:space="preserve">Assisted a large electric utility in defending against agency allegations that intentionally-uneconomic and/or fraudulent offers of its generators were used to garner out-of-market payments. Analyses supporting the client’s position showed that its </w:t>
      </w:r>
      <w:r w:rsidR="002F074B" w:rsidRPr="005D23AC">
        <w:rPr>
          <w:rFonts w:asciiTheme="minorHAnsi" w:hAnsiTheme="minorHAnsi" w:cstheme="minorHAnsi"/>
          <w:color w:val="auto"/>
          <w:sz w:val="24"/>
          <w:szCs w:val="24"/>
        </w:rPr>
        <w:t>unit</w:t>
      </w:r>
      <w:r w:rsidRPr="005D23AC">
        <w:rPr>
          <w:rFonts w:asciiTheme="minorHAnsi" w:hAnsiTheme="minorHAnsi" w:cstheme="minorHAnsi"/>
          <w:color w:val="auto"/>
          <w:sz w:val="24"/>
          <w:szCs w:val="24"/>
        </w:rPr>
        <w:t xml:space="preserve"> offers were economic and maximized profits from the firm’s energy sales exclusive of the out-of-market payments received.</w:t>
      </w:r>
    </w:p>
    <w:p w14:paraId="62A06579" w14:textId="75331C12" w:rsidR="005A09C6" w:rsidRPr="005D23AC"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Client under Investigation.</w:t>
      </w:r>
      <w:r w:rsidR="004B1822" w:rsidRPr="005D23AC">
        <w:rPr>
          <w:rFonts w:asciiTheme="minorHAnsi" w:hAnsiTheme="minorHAnsi" w:cstheme="minorHAnsi"/>
          <w:b/>
          <w:color w:val="auto"/>
          <w:sz w:val="24"/>
          <w:szCs w:val="24"/>
        </w:rPr>
        <w:t xml:space="preserve"> </w:t>
      </w:r>
      <w:r w:rsidRPr="005D23AC">
        <w:rPr>
          <w:rFonts w:asciiTheme="minorHAnsi" w:hAnsiTheme="minorHAnsi" w:cstheme="minorHAnsi"/>
          <w:color w:val="auto"/>
          <w:sz w:val="24"/>
          <w:szCs w:val="24"/>
        </w:rPr>
        <w:t>Assisted a large electricity trader in evaluating its potential exposure given an agency investigation into the industry’s use of virtual bidding to affect the value of financial transmission rights.</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Analysis used the trader’s internal trading records and public data from the RTO to evaluate whether the behavior gave rise to potential liability under the FERC’s anti-manipulation rule.</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Where suspect behavior was found, additional trading data and client records were reviewed to determine whether the trading at issue served a stand-alone legitimate business purpose, thus blunting agency assertions of manipulative intent.</w:t>
      </w:r>
      <w:r w:rsidR="004B1822" w:rsidRPr="005D23AC">
        <w:rPr>
          <w:rFonts w:asciiTheme="minorHAnsi" w:hAnsiTheme="minorHAnsi" w:cstheme="minorHAnsi"/>
          <w:color w:val="auto"/>
          <w:sz w:val="24"/>
          <w:szCs w:val="24"/>
        </w:rPr>
        <w:t xml:space="preserve"> </w:t>
      </w:r>
      <w:r w:rsidRPr="005D23AC">
        <w:rPr>
          <w:rFonts w:asciiTheme="minorHAnsi" w:hAnsiTheme="minorHAnsi" w:cstheme="minorHAnsi"/>
          <w:color w:val="auto"/>
          <w:sz w:val="24"/>
          <w:szCs w:val="24"/>
        </w:rPr>
        <w:t>The investigation was terminated with no action against the company.</w:t>
      </w:r>
    </w:p>
    <w:p w14:paraId="3E61CF57" w14:textId="50A8EE5C"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Successful Defense of Client under Investigation.</w:t>
      </w:r>
      <w:r w:rsidR="004B1822" w:rsidRPr="00C8641A">
        <w:rPr>
          <w:rFonts w:asciiTheme="minorHAnsi" w:hAnsiTheme="minorHAnsi" w:cstheme="minorHAnsi"/>
          <w:b/>
          <w:color w:val="auto"/>
          <w:sz w:val="24"/>
          <w:szCs w:val="24"/>
        </w:rPr>
        <w:t xml:space="preserve"> </w:t>
      </w:r>
      <w:r w:rsidRPr="00C8641A">
        <w:rPr>
          <w:rFonts w:asciiTheme="minorHAnsi" w:hAnsiTheme="minorHAnsi" w:cstheme="minorHAnsi"/>
          <w:color w:val="auto"/>
          <w:sz w:val="24"/>
          <w:szCs w:val="24"/>
        </w:rPr>
        <w:t>Assisted client alleged to have engaged in prohibited transactions in the California ISO.</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Analysis proved that the company flowed physical power when the economics dictated it could do so profitably, and likewise reversed those transactions financially based on legitimate profit-seeking motivations.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The agency investigating the matter closed the case with no further action against the company.</w:t>
      </w:r>
    </w:p>
    <w:p w14:paraId="495C0429" w14:textId="077C70C7"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Client under Investigation.</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Assisted a trader to defend against allegations of violations of the FERC’s anti-manipulation rule.</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Provided expert report explaining why the behavior alleged served a stand-alone legitimate business purpose, specifically avoided manipulative outcomes, adhered to the results that the agency explicitly contemplated in its prior orders, and generally served to enhance the efficiency of the market as intended given the instruments involved.</w:t>
      </w:r>
    </w:p>
    <w:p w14:paraId="6A1884A4" w14:textId="4F239E45" w:rsidR="005A09C6" w:rsidRPr="00C8641A" w:rsidRDefault="005A09C6" w:rsidP="00EB03CE">
      <w:pPr>
        <w:pStyle w:val="BGBulletedList"/>
        <w:numPr>
          <w:ilvl w:val="0"/>
          <w:numId w:val="44"/>
        </w:numPr>
        <w:ind w:left="990"/>
        <w:jc w:val="left"/>
        <w:rPr>
          <w:rFonts w:asciiTheme="minorHAnsi" w:hAnsiTheme="minorHAnsi" w:cstheme="minorHAnsi"/>
          <w:color w:val="auto"/>
          <w:sz w:val="24"/>
        </w:rPr>
      </w:pPr>
      <w:r w:rsidRPr="00C8641A">
        <w:rPr>
          <w:rFonts w:asciiTheme="minorHAnsi" w:hAnsiTheme="minorHAnsi" w:cstheme="minorHAnsi"/>
          <w:b/>
          <w:color w:val="auto"/>
          <w:sz w:val="24"/>
        </w:rPr>
        <w:t>Successful Defense of Client under Investigation.</w:t>
      </w:r>
      <w:r w:rsidR="004B1822" w:rsidRPr="00C8641A">
        <w:rPr>
          <w:rFonts w:asciiTheme="minorHAnsi" w:hAnsiTheme="minorHAnsi" w:cstheme="minorHAnsi"/>
          <w:b/>
          <w:color w:val="auto"/>
          <w:sz w:val="24"/>
        </w:rPr>
        <w:t xml:space="preserve"> </w:t>
      </w:r>
      <w:r w:rsidRPr="00C8641A">
        <w:rPr>
          <w:rFonts w:asciiTheme="minorHAnsi" w:hAnsiTheme="minorHAnsi" w:cstheme="minorHAnsi"/>
          <w:color w:val="auto"/>
          <w:sz w:val="24"/>
        </w:rPr>
        <w:t>Assisted client alleged to have engaged in uneconomic physical transactions across RTOs to benefit financial positions.</w:t>
      </w:r>
      <w:r w:rsidR="004B1822" w:rsidRPr="00C8641A">
        <w:rPr>
          <w:rFonts w:asciiTheme="minorHAnsi" w:hAnsiTheme="minorHAnsi" w:cstheme="minorHAnsi"/>
          <w:color w:val="auto"/>
          <w:sz w:val="24"/>
        </w:rPr>
        <w:t xml:space="preserve"> </w:t>
      </w:r>
      <w:r w:rsidRPr="00C8641A">
        <w:rPr>
          <w:rFonts w:asciiTheme="minorHAnsi" w:hAnsiTheme="minorHAnsi" w:cstheme="minorHAnsi"/>
          <w:color w:val="auto"/>
          <w:sz w:val="24"/>
        </w:rPr>
        <w:t>Analysis proved that the company’s physical power flows were typically uncorrelated with the directionality of its financial positions and that those positions which could directionality benefit lacked sufficient financial leverage to make the manipulation profitable overall.</w:t>
      </w:r>
      <w:r w:rsidR="004B1822" w:rsidRPr="00C8641A">
        <w:rPr>
          <w:rFonts w:asciiTheme="minorHAnsi" w:hAnsiTheme="minorHAnsi" w:cstheme="minorHAnsi"/>
          <w:color w:val="auto"/>
          <w:sz w:val="24"/>
        </w:rPr>
        <w:t xml:space="preserve"> </w:t>
      </w:r>
      <w:r w:rsidRPr="00C8641A">
        <w:rPr>
          <w:rFonts w:asciiTheme="minorHAnsi" w:hAnsiTheme="minorHAnsi" w:cstheme="minorHAnsi"/>
          <w:color w:val="auto"/>
          <w:sz w:val="24"/>
        </w:rPr>
        <w:t>The investigation was closed with no action taken against the company.</w:t>
      </w:r>
    </w:p>
    <w:p w14:paraId="49A5690F" w14:textId="344AB49A"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Client under Investigation.</w:t>
      </w:r>
      <w:r w:rsidR="004B1822" w:rsidRPr="00C8641A">
        <w:rPr>
          <w:rFonts w:asciiTheme="minorHAnsi" w:hAnsiTheme="minorHAnsi" w:cstheme="minorHAnsi"/>
          <w:b/>
          <w:color w:val="auto"/>
          <w:sz w:val="24"/>
          <w:szCs w:val="24"/>
        </w:rPr>
        <w:t xml:space="preserve"> </w:t>
      </w:r>
      <w:r w:rsidRPr="00C8641A">
        <w:rPr>
          <w:rFonts w:asciiTheme="minorHAnsi" w:hAnsiTheme="minorHAnsi" w:cstheme="minorHAnsi"/>
          <w:color w:val="auto"/>
          <w:sz w:val="24"/>
          <w:szCs w:val="24"/>
        </w:rPr>
        <w:t>Assisted European firm under investigation for the suspicious trading of energy futures contracts prior to and during a settlement period.</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Analysis provided to assist client’s response to the exchange’s inquiries and to assess potential liability under the applicable market manipulation rules.</w:t>
      </w:r>
    </w:p>
    <w:p w14:paraId="69BC4A59" w14:textId="4B7171A0"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Internal Investigation of Suspicious Trading Activity.</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 xml:space="preserve">Assisted a large physical market participant in assessing its potential liability with respect to specific trading strategies that </w:t>
      </w:r>
      <w:r w:rsidR="005C3A5F" w:rsidRPr="00C8641A">
        <w:rPr>
          <w:rFonts w:asciiTheme="minorHAnsi" w:hAnsiTheme="minorHAnsi" w:cstheme="minorHAnsi"/>
          <w:color w:val="auto"/>
          <w:sz w:val="24"/>
          <w:szCs w:val="24"/>
        </w:rPr>
        <w:t>could</w:t>
      </w:r>
      <w:r w:rsidRPr="00C8641A">
        <w:rPr>
          <w:rFonts w:asciiTheme="minorHAnsi" w:hAnsiTheme="minorHAnsi" w:cstheme="minorHAnsi"/>
          <w:color w:val="auto"/>
          <w:sz w:val="24"/>
          <w:szCs w:val="24"/>
        </w:rPr>
        <w:t xml:space="preserve"> alter the value of related financial derivatives positions. We performed this analysis in cooperation with the client’s external counsel to provide a consistent understanding of the behavior that could be of concern, as well as meaningful perspectives as to how the client could improve compliance going forward.</w:t>
      </w:r>
    </w:p>
    <w:p w14:paraId="777D39BB" w14:textId="4B36DD1E"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Defense against Allegations of a Pump and Dump Scheme.</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Assisted expert witness in preparing a report defending against allegations of client’s assemblage of an over-the-counter stock position and subsequent “pumping” of the stock through fraudulent statements and uneconomic trades. Allegations were proven false using trading records of the accused using market data to demonstrate that the client’s trades did not fit the fact pattern alleged in the plaintiff’s complaint.</w:t>
      </w:r>
    </w:p>
    <w:p w14:paraId="1A1CAF60" w14:textId="12CDA543" w:rsidR="005A09C6" w:rsidRPr="00C8641A" w:rsidRDefault="005A09C6" w:rsidP="00EB03CE">
      <w:pPr>
        <w:pStyle w:val="BulletedList"/>
        <w:numPr>
          <w:ilvl w:val="0"/>
          <w:numId w:val="44"/>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Agency Self‐Report.</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Successfully assisted a major financial trading organization in preparing and submitting a self‐report concerning legitimate physical and financial trading behavior that might have been misconstrued as manipulative. The analysis provided demonstrated that the traders in the case were not acting in concert, but that one trader independently placed speculative trades upon viewing a market event in which a different trader independently placed his own profit-seeking physical trades. The agency took no action against the market participant or traders.</w:t>
      </w:r>
    </w:p>
    <w:p w14:paraId="5980B3D7" w14:textId="2B22886B" w:rsidR="005A09C6" w:rsidRPr="00950863" w:rsidRDefault="005A09C6" w:rsidP="00CD3821">
      <w:pPr>
        <w:pStyle w:val="TitleOfficeLocation"/>
        <w:ind w:left="450"/>
        <w:rPr>
          <w:i/>
        </w:rPr>
      </w:pPr>
      <w:r w:rsidRPr="00C119AF">
        <w:rPr>
          <w:i/>
          <w:color w:val="002B54" w:themeColor="text2"/>
        </w:rPr>
        <w:lastRenderedPageBreak/>
        <w:t>Analyses in Support of Agency Investigations and Plaintiff’s Actions</w:t>
      </w:r>
    </w:p>
    <w:p w14:paraId="29461299" w14:textId="50081C27" w:rsidR="008E1148" w:rsidRPr="00C8641A" w:rsidRDefault="008E1148"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Plaintiff Class Action.</w:t>
      </w:r>
      <w:r w:rsidRPr="00C8641A">
        <w:rPr>
          <w:rFonts w:asciiTheme="minorHAnsi" w:hAnsiTheme="minorHAnsi" w:cstheme="minorHAnsi"/>
          <w:color w:val="auto"/>
          <w:sz w:val="24"/>
          <w:szCs w:val="24"/>
        </w:rPr>
        <w:t xml:space="preserve">  Providing support of plaintiff class in </w:t>
      </w:r>
      <w:r w:rsidRPr="00C8641A">
        <w:rPr>
          <w:rFonts w:asciiTheme="minorHAnsi" w:hAnsiTheme="minorHAnsi" w:cstheme="minorHAnsi"/>
          <w:i/>
          <w:color w:val="auto"/>
          <w:sz w:val="24"/>
          <w:szCs w:val="24"/>
        </w:rPr>
        <w:t>Stillwater v Stanwell and CS Energy,</w:t>
      </w:r>
      <w:r w:rsidRPr="00C8641A">
        <w:rPr>
          <w:rFonts w:asciiTheme="minorHAnsi" w:hAnsiTheme="minorHAnsi" w:cstheme="minorHAnsi"/>
          <w:color w:val="auto"/>
          <w:sz w:val="24"/>
          <w:szCs w:val="24"/>
        </w:rPr>
        <w:t xml:space="preserve"> an Australian case alleging manipulative behavior on the part of generators participating in the National Energy Market (NEM).  Analysis is </w:t>
      </w:r>
      <w:r w:rsidR="00966FC6" w:rsidRPr="00C8641A">
        <w:rPr>
          <w:rFonts w:asciiTheme="minorHAnsi" w:hAnsiTheme="minorHAnsi" w:cstheme="minorHAnsi"/>
          <w:color w:val="auto"/>
          <w:sz w:val="24"/>
          <w:szCs w:val="24"/>
        </w:rPr>
        <w:t xml:space="preserve">focused on </w:t>
      </w:r>
      <w:r w:rsidRPr="00C8641A">
        <w:rPr>
          <w:rFonts w:asciiTheme="minorHAnsi" w:hAnsiTheme="minorHAnsi" w:cstheme="minorHAnsi"/>
          <w:color w:val="auto"/>
          <w:sz w:val="24"/>
          <w:szCs w:val="24"/>
        </w:rPr>
        <w:t>evaluating alleged rebidding strategies that potentially gamed market rules and denied competitors access to the NEM.</w:t>
      </w:r>
    </w:p>
    <w:p w14:paraId="7716C352" w14:textId="4FCA91BE" w:rsidR="00593531" w:rsidRPr="00C8641A" w:rsidRDefault="00593531"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Support of Plaintiff Class Action. </w:t>
      </w:r>
      <w:r w:rsidR="008E1148" w:rsidRPr="00C8641A">
        <w:rPr>
          <w:rFonts w:asciiTheme="minorHAnsi" w:hAnsiTheme="minorHAnsi" w:cstheme="minorHAnsi"/>
          <w:color w:val="auto"/>
          <w:sz w:val="24"/>
          <w:szCs w:val="24"/>
        </w:rPr>
        <w:t>Providing testimony for class certification and merits in support of the plaintiff class in AO</w:t>
      </w:r>
      <w:r w:rsidR="008E1148" w:rsidRPr="00C8641A">
        <w:rPr>
          <w:rFonts w:asciiTheme="minorHAnsi" w:hAnsiTheme="minorHAnsi" w:cstheme="minorHAnsi"/>
          <w:i/>
          <w:color w:val="auto"/>
          <w:sz w:val="24"/>
          <w:szCs w:val="24"/>
        </w:rPr>
        <w:t>T Holding AG v. Archer Daniels Midland Company.</w:t>
      </w:r>
      <w:r w:rsidR="008E1148" w:rsidRPr="00C8641A">
        <w:rPr>
          <w:rFonts w:asciiTheme="minorHAnsi" w:hAnsiTheme="minorHAnsi" w:cstheme="minorHAnsi"/>
          <w:color w:val="auto"/>
          <w:sz w:val="24"/>
          <w:szCs w:val="24"/>
        </w:rPr>
        <w:t xml:space="preserve">  Analysis of alleged manipulation of an ethanol spot market index over an approximately 22-month period to benefit the value of a large derivatives positions tied to that index.  Deposition testimony given on 10/01/21 and 06/13/22.</w:t>
      </w:r>
    </w:p>
    <w:p w14:paraId="0388DF3C" w14:textId="0287B0F0" w:rsidR="005A09C6" w:rsidRPr="00C8641A" w:rsidRDefault="005A09C6"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Enforcement Action.</w:t>
      </w:r>
      <w:r w:rsidR="004B1822" w:rsidRPr="00C8641A">
        <w:rPr>
          <w:rFonts w:asciiTheme="minorHAnsi" w:hAnsiTheme="minorHAnsi" w:cstheme="minorHAnsi"/>
          <w:b/>
          <w:color w:val="auto"/>
          <w:sz w:val="24"/>
          <w:szCs w:val="24"/>
        </w:rPr>
        <w:t xml:space="preserve"> </w:t>
      </w:r>
      <w:r w:rsidRPr="00C8641A">
        <w:rPr>
          <w:rFonts w:asciiTheme="minorHAnsi" w:hAnsiTheme="minorHAnsi" w:cstheme="minorHAnsi"/>
          <w:color w:val="auto"/>
          <w:sz w:val="24"/>
          <w:szCs w:val="24"/>
        </w:rPr>
        <w:t>Supporting state Attorney General’s action alleging manipulation of various refined petroleum products.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Analysis examine</w:t>
      </w:r>
      <w:r w:rsidR="00AD2534" w:rsidRPr="00C8641A">
        <w:rPr>
          <w:rFonts w:asciiTheme="minorHAnsi" w:hAnsiTheme="minorHAnsi" w:cstheme="minorHAnsi"/>
          <w:color w:val="auto"/>
          <w:sz w:val="24"/>
          <w:szCs w:val="24"/>
        </w:rPr>
        <w:t>s</w:t>
      </w:r>
      <w:r w:rsidRPr="00C8641A">
        <w:rPr>
          <w:rFonts w:asciiTheme="minorHAnsi" w:hAnsiTheme="minorHAnsi" w:cstheme="minorHAnsi"/>
          <w:color w:val="auto"/>
          <w:sz w:val="24"/>
          <w:szCs w:val="24"/>
        </w:rPr>
        <w:t xml:space="preserve"> </w:t>
      </w:r>
      <w:r w:rsidR="00AD2534" w:rsidRPr="00C8641A">
        <w:rPr>
          <w:rFonts w:asciiTheme="minorHAnsi" w:hAnsiTheme="minorHAnsi" w:cstheme="minorHAnsi"/>
          <w:color w:val="auto"/>
          <w:sz w:val="24"/>
          <w:szCs w:val="24"/>
        </w:rPr>
        <w:t>if</w:t>
      </w:r>
      <w:r w:rsidRPr="00C8641A">
        <w:rPr>
          <w:rFonts w:asciiTheme="minorHAnsi" w:hAnsiTheme="minorHAnsi" w:cstheme="minorHAnsi"/>
          <w:color w:val="auto"/>
          <w:sz w:val="24"/>
          <w:szCs w:val="24"/>
        </w:rPr>
        <w:t xml:space="preserve"> bidding activities benefitted physical supply contracts valued based on indexed prices.</w:t>
      </w:r>
    </w:p>
    <w:p w14:paraId="42EF6C3A" w14:textId="6C1D174F" w:rsidR="005A09C6" w:rsidRPr="00C8641A" w:rsidRDefault="005A09C6"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Exchange Investigation.</w:t>
      </w:r>
      <w:r w:rsidR="004B1822" w:rsidRPr="00C8641A">
        <w:rPr>
          <w:rFonts w:asciiTheme="minorHAnsi" w:hAnsiTheme="minorHAnsi" w:cstheme="minorHAnsi"/>
          <w:b/>
          <w:color w:val="auto"/>
          <w:sz w:val="24"/>
          <w:szCs w:val="24"/>
        </w:rPr>
        <w:t xml:space="preserve"> </w:t>
      </w:r>
      <w:r w:rsidR="008E1148" w:rsidRPr="00C8641A">
        <w:rPr>
          <w:rFonts w:asciiTheme="minorHAnsi" w:hAnsiTheme="minorHAnsi" w:cstheme="minorHAnsi"/>
          <w:color w:val="auto"/>
          <w:sz w:val="24"/>
          <w:szCs w:val="24"/>
        </w:rPr>
        <w:t>Assisted</w:t>
      </w:r>
      <w:r w:rsidRPr="00C8641A">
        <w:rPr>
          <w:rFonts w:asciiTheme="minorHAnsi" w:hAnsiTheme="minorHAnsi" w:cstheme="minorHAnsi"/>
          <w:color w:val="auto"/>
          <w:sz w:val="24"/>
          <w:szCs w:val="24"/>
        </w:rPr>
        <w:t xml:space="preserve"> an exchange’s internal investigation of a participant suspected of using fraudulent bids and offers to bias the closing prices of traded instruments over time, allegedly allowing the participant to profit from the artificial prices created thereby.</w:t>
      </w:r>
    </w:p>
    <w:p w14:paraId="33141D86" w14:textId="229C2DB8" w:rsidR="00C169C2" w:rsidRPr="00C8641A" w:rsidRDefault="00C169C2"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Analysis of Disclosures of Material, Non-Public Information.</w:t>
      </w:r>
      <w:r w:rsidRPr="00C8641A">
        <w:rPr>
          <w:rFonts w:asciiTheme="minorHAnsi" w:hAnsiTheme="minorHAnsi" w:cstheme="minorHAnsi"/>
          <w:color w:val="auto"/>
          <w:sz w:val="24"/>
          <w:szCs w:val="24"/>
        </w:rPr>
        <w:t xml:space="preserve"> Retained by a regulator to examine whether non-public information disclosed by the employees of an exchange to an external broker was material, measured through trading subsequent to the disclosures and its price impact on the market. Analysis made use of statistical analyses and event studies to evaluate causation and measure any price impacts.</w:t>
      </w:r>
    </w:p>
    <w:p w14:paraId="7617C7A8" w14:textId="10281B4E" w:rsidR="005A09C6" w:rsidRPr="00C8641A" w:rsidRDefault="005A09C6"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Agency Investigation.</w:t>
      </w:r>
      <w:r w:rsidR="004B1822" w:rsidRPr="00C8641A">
        <w:rPr>
          <w:rFonts w:asciiTheme="minorHAnsi" w:hAnsiTheme="minorHAnsi" w:cstheme="minorHAnsi"/>
          <w:b/>
          <w:color w:val="auto"/>
          <w:sz w:val="24"/>
          <w:szCs w:val="24"/>
        </w:rPr>
        <w:t xml:space="preserve"> </w:t>
      </w:r>
      <w:r w:rsidRPr="00C8641A">
        <w:rPr>
          <w:rFonts w:asciiTheme="minorHAnsi" w:hAnsiTheme="minorHAnsi" w:cstheme="minorHAnsi"/>
          <w:color w:val="auto"/>
          <w:sz w:val="24"/>
          <w:szCs w:val="24"/>
        </w:rPr>
        <w:t>Assisted a regulator investigating the alleged exercise of market power through withholding by a company that simultaneously held related derivatives contracts that could benefit from higher prices.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Analysis determined that the exercise of market power was profitable on a stand-alone basis without the need of any additional profits garnered from the derivatives.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As such, we demonstrated that no manipulation occurred, for the legal exercise of market power is neither fraudulent nor does it create an “artificial” price.</w:t>
      </w:r>
    </w:p>
    <w:p w14:paraId="09536907" w14:textId="39D0BFE8" w:rsidR="005A09C6" w:rsidRPr="00C8641A" w:rsidRDefault="005A09C6" w:rsidP="00973791">
      <w:pPr>
        <w:pStyle w:val="BulletedList"/>
        <w:numPr>
          <w:ilvl w:val="0"/>
          <w:numId w:val="43"/>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Agency Analysis of a Suspected Market Manipulation.</w:t>
      </w:r>
      <w:r w:rsidR="004B1822" w:rsidRPr="00C8641A">
        <w:rPr>
          <w:rFonts w:asciiTheme="minorHAnsi" w:hAnsiTheme="minorHAnsi" w:cstheme="minorHAnsi"/>
          <w:b/>
          <w:color w:val="auto"/>
          <w:sz w:val="24"/>
          <w:szCs w:val="24"/>
        </w:rPr>
        <w:t xml:space="preserve"> </w:t>
      </w:r>
      <w:r w:rsidRPr="00C8641A">
        <w:rPr>
          <w:rFonts w:asciiTheme="minorHAnsi" w:hAnsiTheme="minorHAnsi" w:cstheme="minorHAnsi"/>
          <w:color w:val="auto"/>
          <w:sz w:val="24"/>
          <w:szCs w:val="24"/>
        </w:rPr>
        <w:t>Examined the behavior of several precious metals traders for specific trading days in which manipulative behavior was suspected to occur.</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Project involved analysis of various physical and financial positions in relation to emails and deposition transcripts provided by the agency sponsoring the work.</w:t>
      </w:r>
    </w:p>
    <w:p w14:paraId="5FF0E1B8" w14:textId="0FA0F51A" w:rsidR="005A09C6" w:rsidRPr="00B0071C" w:rsidRDefault="005A09C6" w:rsidP="00973791">
      <w:pPr>
        <w:pStyle w:val="ListParagraph"/>
        <w:numPr>
          <w:ilvl w:val="0"/>
          <w:numId w:val="43"/>
        </w:numPr>
        <w:spacing w:before="0" w:after="60" w:line="240" w:lineRule="auto"/>
        <w:ind w:left="990"/>
        <w:contextualSpacing/>
        <w:rPr>
          <w:rFonts w:cstheme="minorHAnsi"/>
          <w:szCs w:val="24"/>
        </w:rPr>
      </w:pPr>
      <w:r w:rsidRPr="00B0071C">
        <w:rPr>
          <w:rFonts w:cstheme="minorHAnsi"/>
          <w:b/>
          <w:szCs w:val="24"/>
        </w:rPr>
        <w:t>Damages Related to the Western Power Crisis.</w:t>
      </w:r>
      <w:r w:rsidR="004B1822">
        <w:rPr>
          <w:rFonts w:cstheme="minorHAnsi"/>
          <w:b/>
          <w:szCs w:val="24"/>
        </w:rPr>
        <w:t xml:space="preserve"> </w:t>
      </w:r>
      <w:r w:rsidRPr="00B0071C">
        <w:rPr>
          <w:rFonts w:cstheme="minorHAnsi"/>
          <w:szCs w:val="24"/>
        </w:rPr>
        <w:t xml:space="preserve">Supported expert testimony in proceedings before the FERC seeking refunds from sellers into the California PX, the California ISO, and the bilateral markets in the Pacific Northwest in the aftermath of the Energy Crisis of 2000-2001. </w:t>
      </w:r>
    </w:p>
    <w:p w14:paraId="55B6C042" w14:textId="77777777" w:rsidR="007E7EE2" w:rsidRDefault="007E7EE2">
      <w:pPr>
        <w:rPr>
          <w:rFonts w:eastAsia="Times New Roman" w:cstheme="minorHAnsi"/>
          <w:b/>
          <w:color w:val="302F35"/>
          <w:szCs w:val="24"/>
          <w:lang w:eastAsia="en-US"/>
        </w:rPr>
      </w:pPr>
      <w:r>
        <w:rPr>
          <w:rFonts w:cstheme="minorHAnsi"/>
          <w:b/>
          <w:szCs w:val="24"/>
        </w:rPr>
        <w:br w:type="page"/>
      </w:r>
    </w:p>
    <w:p w14:paraId="3710482E" w14:textId="3DCF5668" w:rsidR="005A09C6" w:rsidRPr="00E21A9C" w:rsidRDefault="005A09C6" w:rsidP="00973791">
      <w:pPr>
        <w:pStyle w:val="BulletedList"/>
        <w:numPr>
          <w:ilvl w:val="0"/>
          <w:numId w:val="43"/>
        </w:numPr>
        <w:spacing w:after="6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lastRenderedPageBreak/>
        <w:t>Investigation</w:t>
      </w:r>
      <w:r w:rsidR="007E7EE2" w:rsidRPr="00E21A9C">
        <w:rPr>
          <w:rFonts w:asciiTheme="minorHAnsi" w:hAnsiTheme="minorHAnsi" w:cstheme="minorHAnsi"/>
          <w:b/>
          <w:color w:val="auto"/>
          <w:sz w:val="24"/>
          <w:szCs w:val="24"/>
        </w:rPr>
        <w:t>s</w:t>
      </w:r>
      <w:r w:rsidRPr="00E21A9C">
        <w:rPr>
          <w:rFonts w:asciiTheme="minorHAnsi" w:hAnsiTheme="minorHAnsi" w:cstheme="minorHAnsi"/>
          <w:b/>
          <w:color w:val="auto"/>
          <w:sz w:val="24"/>
          <w:szCs w:val="24"/>
        </w:rPr>
        <w:t xml:space="preserve"> of Market Manipulation within Electricity Markets.</w:t>
      </w:r>
      <w:r w:rsidRPr="00E21A9C">
        <w:rPr>
          <w:rFonts w:asciiTheme="minorHAnsi" w:hAnsiTheme="minorHAnsi" w:cstheme="minorHAnsi"/>
          <w:color w:val="auto"/>
          <w:sz w:val="24"/>
          <w:szCs w:val="24"/>
        </w:rPr>
        <w:t xml:space="preserve"> While at the FERC, assisted several public and non-public investigations involving trading behavior alleged to set physical power prices to benefit financial positions, the values of which are tied to that physical price.</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Developed analytic yardsticks to support the legal standard of proof required by the FERC’s anti-manipulation statute and established evidence showing intent to manipulate and the negation of erroneous affirmative defenses concerning the legitimate business purpose of such trades.</w:t>
      </w:r>
    </w:p>
    <w:p w14:paraId="06ADDB9D" w14:textId="1F101FB0" w:rsidR="005A09C6" w:rsidRPr="00E21A9C" w:rsidRDefault="005A09C6" w:rsidP="00973791">
      <w:pPr>
        <w:pStyle w:val="BulletedList"/>
        <w:numPr>
          <w:ilvl w:val="1"/>
          <w:numId w:val="43"/>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Deutsche Bank Energy Trading</w:t>
      </w:r>
      <w:r w:rsidRPr="00E21A9C">
        <w:rPr>
          <w:rFonts w:asciiTheme="minorHAnsi" w:hAnsiTheme="minorHAnsi" w:cstheme="minorHAnsi"/>
          <w:b/>
          <w:color w:val="auto"/>
          <w:sz w:val="24"/>
          <w:szCs w:val="24"/>
        </w:rPr>
        <w:t>.</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Provided analysis and opinions related to the investigation of an alleged manipulation of Congestion Revenue Rights using physical power trades.</w:t>
      </w:r>
    </w:p>
    <w:p w14:paraId="56CED3C6" w14:textId="489C688C" w:rsidR="005A09C6" w:rsidRPr="00E21A9C" w:rsidRDefault="005A09C6" w:rsidP="00973791">
      <w:pPr>
        <w:pStyle w:val="BulletedList"/>
        <w:numPr>
          <w:ilvl w:val="1"/>
          <w:numId w:val="43"/>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Constellation Energy Commodities Group</w:t>
      </w:r>
      <w:r w:rsidRPr="00E21A9C">
        <w:rPr>
          <w:rFonts w:asciiTheme="minorHAnsi" w:hAnsiTheme="minorHAnsi" w:cstheme="minorHAnsi"/>
          <w:b/>
          <w:color w:val="auto"/>
          <w:sz w:val="24"/>
          <w:szCs w:val="24"/>
        </w:rPr>
        <w:t>.</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Provided the conceptual framework used for the analysis of Constellation’s allegedly uneconomic trading of physical and virtual trades asserted to have benefitted the value of its financial transmission rights and other related derivatives positions.</w:t>
      </w:r>
    </w:p>
    <w:p w14:paraId="579F468B" w14:textId="336392E2" w:rsidR="005A09C6" w:rsidRPr="00E21A9C" w:rsidRDefault="005A09C6" w:rsidP="00973791">
      <w:pPr>
        <w:pStyle w:val="BulletedList"/>
        <w:numPr>
          <w:ilvl w:val="1"/>
          <w:numId w:val="43"/>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Louis Dreyfus Energy Services.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 xml:space="preserve">Used publically available price data to </w:t>
      </w:r>
      <w:r w:rsidR="00723679" w:rsidRPr="00E21A9C">
        <w:rPr>
          <w:rFonts w:asciiTheme="minorHAnsi" w:hAnsiTheme="minorHAnsi" w:cstheme="minorHAnsi"/>
          <w:color w:val="auto"/>
          <w:sz w:val="24"/>
          <w:szCs w:val="24"/>
        </w:rPr>
        <w:t>show</w:t>
      </w:r>
      <w:r w:rsidRPr="00E21A9C">
        <w:rPr>
          <w:rFonts w:asciiTheme="minorHAnsi" w:hAnsiTheme="minorHAnsi" w:cstheme="minorHAnsi"/>
          <w:color w:val="auto"/>
          <w:sz w:val="24"/>
          <w:szCs w:val="24"/>
        </w:rPr>
        <w:t xml:space="preserve"> a bias evident at the Velva trading node during months when the company was alleged to use virtual bids to manipulate the value of its financial transmission rights.</w:t>
      </w:r>
    </w:p>
    <w:p w14:paraId="146226C1" w14:textId="0E06C1A5" w:rsidR="005A09C6" w:rsidRPr="00E21A9C" w:rsidRDefault="005A09C6" w:rsidP="00973791">
      <w:pPr>
        <w:pStyle w:val="BulletedList"/>
        <w:numPr>
          <w:ilvl w:val="1"/>
          <w:numId w:val="43"/>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Barclays Bank.</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Provided conceptual validation for staff’s theory of market manipulation regarding the alleged use of uneconomic or fraudulent physical trades to boost the value of the company’s financial swaps.</w:t>
      </w:r>
    </w:p>
    <w:p w14:paraId="14756EF1" w14:textId="0B975498" w:rsidR="005A09C6" w:rsidRPr="00E21A9C" w:rsidRDefault="005A09C6" w:rsidP="00973791">
      <w:pPr>
        <w:pStyle w:val="BulletedList"/>
        <w:numPr>
          <w:ilvl w:val="1"/>
          <w:numId w:val="43"/>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Lake Erie Loop Flow.</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 xml:space="preserve">Provided statistical analysis of various combinations of physical trades </w:t>
      </w:r>
      <w:r w:rsidR="00E40775" w:rsidRPr="00E21A9C">
        <w:rPr>
          <w:rFonts w:asciiTheme="minorHAnsi" w:hAnsiTheme="minorHAnsi" w:cstheme="minorHAnsi"/>
          <w:color w:val="auto"/>
          <w:sz w:val="24"/>
          <w:szCs w:val="24"/>
        </w:rPr>
        <w:t>alleged</w:t>
      </w:r>
      <w:r w:rsidRPr="00E21A9C">
        <w:rPr>
          <w:rFonts w:asciiTheme="minorHAnsi" w:hAnsiTheme="minorHAnsi" w:cstheme="minorHAnsi"/>
          <w:color w:val="auto"/>
          <w:sz w:val="24"/>
          <w:szCs w:val="24"/>
        </w:rPr>
        <w:t xml:space="preserve"> to have caused heightened loop flows around Lake Erie in 2008 and assisted the production of staff’s report concerning the behavior.</w:t>
      </w:r>
    </w:p>
    <w:p w14:paraId="782DC932" w14:textId="2ACCC924" w:rsidR="005A09C6" w:rsidRPr="00E21A9C" w:rsidRDefault="005A09C6" w:rsidP="00973791">
      <w:pPr>
        <w:pStyle w:val="BulletedList"/>
        <w:numPr>
          <w:ilvl w:val="0"/>
          <w:numId w:val="43"/>
        </w:numPr>
        <w:spacing w:after="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Investigation</w:t>
      </w:r>
      <w:r w:rsidR="007E7EE2" w:rsidRPr="00E21A9C">
        <w:rPr>
          <w:rFonts w:asciiTheme="minorHAnsi" w:hAnsiTheme="minorHAnsi" w:cstheme="minorHAnsi"/>
          <w:b/>
          <w:color w:val="auto"/>
          <w:sz w:val="24"/>
          <w:szCs w:val="24"/>
        </w:rPr>
        <w:t>s</w:t>
      </w:r>
      <w:r w:rsidRPr="00E21A9C">
        <w:rPr>
          <w:rFonts w:asciiTheme="minorHAnsi" w:hAnsiTheme="minorHAnsi" w:cstheme="minorHAnsi"/>
          <w:b/>
          <w:color w:val="auto"/>
          <w:sz w:val="24"/>
          <w:szCs w:val="24"/>
        </w:rPr>
        <w:t xml:space="preserve"> of Market Manipulation within Natural Gas Markets.</w:t>
      </w:r>
      <w:r w:rsidRPr="00E21A9C">
        <w:rPr>
          <w:rFonts w:asciiTheme="minorHAnsi" w:hAnsiTheme="minorHAnsi" w:cstheme="minorHAnsi"/>
          <w:color w:val="auto"/>
          <w:sz w:val="24"/>
          <w:szCs w:val="24"/>
        </w:rPr>
        <w:t xml:space="preserve"> In investigations of suspected market manipulations of the wholesale natural gas markets, evaluated whether trading entities accumulated portfolios of financial instruments tied to one or more physical pricing points, analyzed how such aggregated positions provided evidence of the incentive to manipulate, and demonstrated how attempts to alter physical prices could be shown to prove manipulative intent.</w:t>
      </w:r>
    </w:p>
    <w:p w14:paraId="0F8C8578" w14:textId="2CF33BBF" w:rsidR="005A09C6" w:rsidRPr="00E21A9C" w:rsidRDefault="005A09C6" w:rsidP="00973791">
      <w:pPr>
        <w:pStyle w:val="BulletedList"/>
        <w:numPr>
          <w:ilvl w:val="1"/>
          <w:numId w:val="43"/>
        </w:numPr>
        <w:spacing w:before="120" w:after="60"/>
        <w:ind w:left="1354" w:right="0"/>
        <w:jc w:val="left"/>
        <w:rPr>
          <w:rFonts w:asciiTheme="minorHAnsi" w:hAnsiTheme="minorHAnsi" w:cstheme="minorHAnsi"/>
          <w:color w:val="auto"/>
          <w:sz w:val="24"/>
          <w:szCs w:val="24"/>
        </w:rPr>
      </w:pPr>
      <w:r w:rsidRPr="00E21A9C">
        <w:rPr>
          <w:rFonts w:asciiTheme="minorHAnsi" w:hAnsiTheme="minorHAnsi" w:cstheme="minorHAnsi"/>
          <w:b/>
          <w:i/>
          <w:color w:val="auto"/>
          <w:sz w:val="24"/>
          <w:szCs w:val="24"/>
        </w:rPr>
        <w:t>Energy Transfer Partners, L.P. (ETP)</w:t>
      </w:r>
      <w:r w:rsidRPr="00E21A9C">
        <w:rPr>
          <w:rFonts w:asciiTheme="minorHAnsi" w:hAnsiTheme="minorHAnsi" w:cstheme="minorHAnsi"/>
          <w:b/>
          <w:color w:val="auto"/>
          <w:sz w:val="24"/>
          <w:szCs w:val="24"/>
        </w:rPr>
        <w:t>.</w:t>
      </w:r>
      <w:r w:rsidRPr="00E21A9C">
        <w:rPr>
          <w:rFonts w:asciiTheme="minorHAnsi" w:hAnsiTheme="minorHAnsi" w:cstheme="minorHAnsi"/>
          <w:color w:val="auto"/>
          <w:sz w:val="24"/>
          <w:szCs w:val="24"/>
        </w:rPr>
        <w:t xml:space="preserve"> Worked with staff attorneys and analysts to assist staff expert witnesses in developing their direct and rebuttal testimonies.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Also prepared for and participated in the depositions of expert witness for ETP.</w:t>
      </w:r>
    </w:p>
    <w:p w14:paraId="794BD9E7" w14:textId="6A31D959" w:rsidR="00B0071C" w:rsidRPr="00E21A9C" w:rsidRDefault="005A09C6" w:rsidP="00153A67">
      <w:pPr>
        <w:pStyle w:val="BulletedList"/>
        <w:numPr>
          <w:ilvl w:val="1"/>
          <w:numId w:val="43"/>
        </w:numPr>
        <w:spacing w:after="60"/>
        <w:ind w:left="1350" w:right="0"/>
        <w:jc w:val="left"/>
        <w:rPr>
          <w:color w:val="auto"/>
        </w:rPr>
      </w:pPr>
      <w:r w:rsidRPr="00E21A9C">
        <w:rPr>
          <w:rFonts w:asciiTheme="minorHAnsi" w:hAnsiTheme="minorHAnsi" w:cstheme="minorHAnsi"/>
          <w:b/>
          <w:i/>
          <w:color w:val="auto"/>
          <w:sz w:val="24"/>
          <w:szCs w:val="24"/>
        </w:rPr>
        <w:t>Amaranth Advisors, LLC et al. (Brian Hunter).</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Worked extensively with staff’s expert witness to develop his direct and rebuttal testimonies.</w:t>
      </w:r>
    </w:p>
    <w:p w14:paraId="1A7C27A1" w14:textId="77777777" w:rsidR="00950863" w:rsidRPr="00E21A9C" w:rsidRDefault="00950863" w:rsidP="00950863">
      <w:pPr>
        <w:pStyle w:val="BulletedList"/>
        <w:numPr>
          <w:ilvl w:val="0"/>
          <w:numId w:val="0"/>
        </w:numPr>
        <w:spacing w:after="60"/>
        <w:ind w:left="180" w:right="0"/>
        <w:jc w:val="left"/>
        <w:rPr>
          <w:color w:val="auto"/>
        </w:rPr>
      </w:pPr>
    </w:p>
    <w:p w14:paraId="0F9DBB3D" w14:textId="77777777" w:rsidR="00A95B08" w:rsidRPr="00E21A9C" w:rsidRDefault="00A95B08">
      <w:pPr>
        <w:rPr>
          <w:rFonts w:cstheme="minorHAnsi"/>
          <w:b/>
          <w:i/>
          <w:caps/>
          <w:spacing w:val="10"/>
          <w:szCs w:val="24"/>
          <w:lang w:eastAsia="en-US"/>
        </w:rPr>
      </w:pPr>
      <w:r w:rsidRPr="00E21A9C">
        <w:rPr>
          <w:i/>
        </w:rPr>
        <w:br w:type="page"/>
      </w:r>
    </w:p>
    <w:p w14:paraId="38040B6D" w14:textId="52688AB2" w:rsidR="005A09C6" w:rsidRPr="004D7F4E" w:rsidRDefault="005A09C6" w:rsidP="00CD3821">
      <w:pPr>
        <w:pStyle w:val="TitleOfficeLocation"/>
        <w:ind w:left="450"/>
        <w:rPr>
          <w:i/>
        </w:rPr>
      </w:pPr>
      <w:r w:rsidRPr="00C119AF">
        <w:rPr>
          <w:i/>
          <w:color w:val="002B54" w:themeColor="text2"/>
        </w:rPr>
        <w:lastRenderedPageBreak/>
        <w:t>Development of Compliance Programs, Best Practices Audits</w:t>
      </w:r>
    </w:p>
    <w:p w14:paraId="73AD4200" w14:textId="651F0938" w:rsidR="005A09C6" w:rsidRPr="00E21A9C" w:rsidRDefault="005A09C6" w:rsidP="00F53C80">
      <w:pPr>
        <w:pStyle w:val="ListParagraph"/>
        <w:numPr>
          <w:ilvl w:val="0"/>
          <w:numId w:val="41"/>
        </w:numPr>
        <w:spacing w:before="0" w:after="120" w:line="240" w:lineRule="auto"/>
        <w:ind w:left="990"/>
        <w:rPr>
          <w:rFonts w:cstheme="minorHAnsi"/>
          <w:b/>
          <w:szCs w:val="24"/>
        </w:rPr>
      </w:pPr>
      <w:r w:rsidRPr="00E21A9C">
        <w:rPr>
          <w:rFonts w:cstheme="minorHAnsi"/>
          <w:b/>
          <w:szCs w:val="24"/>
        </w:rPr>
        <w:t>Development of Compliance Programs.</w:t>
      </w:r>
      <w:r w:rsidRPr="00E21A9C">
        <w:rPr>
          <w:rFonts w:cstheme="minorHAnsi"/>
          <w:szCs w:val="24"/>
        </w:rPr>
        <w:t xml:space="preserve"> </w:t>
      </w:r>
      <w:r w:rsidR="00C04235" w:rsidRPr="00E21A9C">
        <w:rPr>
          <w:rFonts w:cstheme="minorHAnsi"/>
          <w:szCs w:val="24"/>
        </w:rPr>
        <w:t>As</w:t>
      </w:r>
      <w:r w:rsidRPr="00E21A9C">
        <w:rPr>
          <w:rFonts w:cstheme="minorHAnsi"/>
          <w:szCs w:val="24"/>
        </w:rPr>
        <w:t>sist internal and external counsels and executives with compliance-related responsibilities strategic advice as to how to develop, maintain and improve their compliance programs.</w:t>
      </w:r>
      <w:r w:rsidR="004B1822" w:rsidRPr="00E21A9C">
        <w:rPr>
          <w:rFonts w:cstheme="minorHAnsi"/>
          <w:szCs w:val="24"/>
        </w:rPr>
        <w:t xml:space="preserve"> </w:t>
      </w:r>
    </w:p>
    <w:p w14:paraId="1C2BF415" w14:textId="41E9F59D" w:rsidR="0030469D" w:rsidRPr="00E21A9C" w:rsidRDefault="005A09C6" w:rsidP="00153A67">
      <w:pPr>
        <w:pStyle w:val="BulletedList"/>
        <w:numPr>
          <w:ilvl w:val="1"/>
          <w:numId w:val="41"/>
        </w:numPr>
        <w:spacing w:after="60"/>
        <w:ind w:left="1350" w:right="0"/>
        <w:jc w:val="left"/>
        <w:rPr>
          <w:rFonts w:cstheme="minorHAnsi"/>
          <w:b/>
          <w:color w:val="auto"/>
          <w:szCs w:val="24"/>
        </w:rPr>
      </w:pPr>
      <w:r w:rsidRPr="00E21A9C">
        <w:rPr>
          <w:rFonts w:asciiTheme="minorHAnsi" w:hAnsiTheme="minorHAnsi" w:cstheme="minorHAnsi"/>
          <w:b/>
          <w:color w:val="auto"/>
          <w:sz w:val="24"/>
          <w:szCs w:val="24"/>
        </w:rPr>
        <w:t>Audits/Best Practice Reviews.</w:t>
      </w:r>
      <w:r w:rsidR="004B1822" w:rsidRPr="00E21A9C">
        <w:rPr>
          <w:rFonts w:asciiTheme="minorHAnsi" w:hAnsiTheme="minorHAnsi" w:cstheme="minorHAnsi"/>
          <w:color w:val="auto"/>
          <w:sz w:val="24"/>
          <w:szCs w:val="24"/>
        </w:rPr>
        <w:t xml:space="preserve"> </w:t>
      </w:r>
      <w:r w:rsidR="002E2308" w:rsidRPr="00E21A9C">
        <w:rPr>
          <w:rFonts w:asciiTheme="minorHAnsi" w:hAnsiTheme="minorHAnsi" w:cstheme="minorHAnsi"/>
          <w:color w:val="auto"/>
          <w:sz w:val="24"/>
          <w:szCs w:val="24"/>
        </w:rPr>
        <w:t>W</w:t>
      </w:r>
      <w:r w:rsidRPr="00E21A9C">
        <w:rPr>
          <w:rFonts w:asciiTheme="minorHAnsi" w:hAnsiTheme="minorHAnsi" w:cstheme="minorHAnsi"/>
          <w:color w:val="auto"/>
          <w:sz w:val="24"/>
          <w:szCs w:val="24"/>
        </w:rPr>
        <w:t xml:space="preserve">ith external counsel, assist firms with audits of their regulatory compliance programs and </w:t>
      </w:r>
      <w:r w:rsidR="002E2308" w:rsidRPr="00E21A9C">
        <w:rPr>
          <w:rFonts w:asciiTheme="minorHAnsi" w:hAnsiTheme="minorHAnsi" w:cstheme="minorHAnsi"/>
          <w:color w:val="auto"/>
          <w:sz w:val="24"/>
          <w:szCs w:val="24"/>
        </w:rPr>
        <w:t xml:space="preserve">provides </w:t>
      </w:r>
      <w:r w:rsidR="00606036" w:rsidRPr="00E21A9C">
        <w:rPr>
          <w:rFonts w:asciiTheme="minorHAnsi" w:hAnsiTheme="minorHAnsi" w:cstheme="minorHAnsi"/>
          <w:color w:val="auto"/>
          <w:sz w:val="24"/>
          <w:szCs w:val="24"/>
        </w:rPr>
        <w:t>advice</w:t>
      </w:r>
      <w:r w:rsidRPr="00E21A9C">
        <w:rPr>
          <w:rFonts w:asciiTheme="minorHAnsi" w:hAnsiTheme="minorHAnsi" w:cstheme="minorHAnsi"/>
          <w:color w:val="auto"/>
          <w:sz w:val="24"/>
          <w:szCs w:val="24"/>
        </w:rPr>
        <w:t xml:space="preserve"> for adopting Best Practices, including compliance with relevant market manipulation laws. These efforts can include: audit, and back-testing of trade surveillance systems; review of training documentation materials and schedules; document retention policies and requirements; vetting and documentation of trading strategies</w:t>
      </w:r>
      <w:r w:rsidR="00A82F5B" w:rsidRPr="00E21A9C">
        <w:rPr>
          <w:rFonts w:asciiTheme="minorHAnsi" w:hAnsiTheme="minorHAnsi" w:cstheme="minorHAnsi"/>
          <w:color w:val="auto"/>
          <w:sz w:val="24"/>
          <w:szCs w:val="24"/>
        </w:rPr>
        <w:t>;</w:t>
      </w:r>
      <w:r w:rsidRPr="00E21A9C">
        <w:rPr>
          <w:rFonts w:asciiTheme="minorHAnsi" w:hAnsiTheme="minorHAnsi" w:cstheme="minorHAnsi"/>
          <w:color w:val="auto"/>
          <w:sz w:val="24"/>
          <w:szCs w:val="24"/>
        </w:rPr>
        <w:t xml:space="preserve"> and review of risk management policies and procedures.</w:t>
      </w:r>
    </w:p>
    <w:p w14:paraId="56E1169A" w14:textId="7377263E" w:rsidR="005A09C6" w:rsidRPr="00E21A9C" w:rsidRDefault="005A09C6" w:rsidP="00F53C80">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 xml:space="preserve">Compliance Plans for </w:t>
      </w:r>
      <w:r w:rsidR="00241AF8" w:rsidRPr="00E21A9C">
        <w:rPr>
          <w:rFonts w:asciiTheme="minorHAnsi" w:hAnsiTheme="minorHAnsi" w:cstheme="minorHAnsi"/>
          <w:b/>
          <w:color w:val="auto"/>
          <w:sz w:val="24"/>
          <w:szCs w:val="24"/>
        </w:rPr>
        <w:t>Energy</w:t>
      </w:r>
      <w:r w:rsidRPr="00E21A9C">
        <w:rPr>
          <w:rFonts w:asciiTheme="minorHAnsi" w:hAnsiTheme="minorHAnsi" w:cstheme="minorHAnsi"/>
          <w:b/>
          <w:color w:val="auto"/>
          <w:sz w:val="24"/>
          <w:szCs w:val="24"/>
        </w:rPr>
        <w:t xml:space="preserve"> Trading Firms.</w:t>
      </w:r>
      <w:r w:rsidR="004B1822" w:rsidRPr="00E21A9C">
        <w:rPr>
          <w:rFonts w:asciiTheme="minorHAnsi" w:hAnsiTheme="minorHAnsi" w:cstheme="minorHAnsi"/>
          <w:color w:val="auto"/>
          <w:sz w:val="24"/>
          <w:szCs w:val="24"/>
        </w:rPr>
        <w:t xml:space="preserve"> </w:t>
      </w:r>
      <w:r w:rsidR="003654A5" w:rsidRPr="00E21A9C">
        <w:rPr>
          <w:rFonts w:asciiTheme="minorHAnsi" w:hAnsiTheme="minorHAnsi" w:cstheme="minorHAnsi"/>
          <w:color w:val="auto"/>
          <w:sz w:val="24"/>
          <w:szCs w:val="24"/>
        </w:rPr>
        <w:t>A</w:t>
      </w:r>
      <w:r w:rsidR="00241AF8" w:rsidRPr="00E21A9C">
        <w:rPr>
          <w:rFonts w:asciiTheme="minorHAnsi" w:hAnsiTheme="minorHAnsi" w:cstheme="minorHAnsi"/>
          <w:color w:val="auto"/>
          <w:sz w:val="24"/>
          <w:szCs w:val="24"/>
        </w:rPr>
        <w:t>ssist</w:t>
      </w:r>
      <w:r w:rsidRPr="00E21A9C">
        <w:rPr>
          <w:rFonts w:asciiTheme="minorHAnsi" w:hAnsiTheme="minorHAnsi" w:cstheme="minorHAnsi"/>
          <w:color w:val="auto"/>
          <w:sz w:val="24"/>
          <w:szCs w:val="24"/>
        </w:rPr>
        <w:t xml:space="preserve"> in-house and external counsel in the development of compliance plans tailored to the specific trading operations relevant to their client’s firms.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Plans are to be distributed to and acknowledged by trading, compliance</w:t>
      </w:r>
      <w:r w:rsidR="00241AF8" w:rsidRPr="00E21A9C">
        <w:rPr>
          <w:rFonts w:asciiTheme="minorHAnsi" w:hAnsiTheme="minorHAnsi" w:cstheme="minorHAnsi"/>
          <w:color w:val="auto"/>
          <w:sz w:val="24"/>
          <w:szCs w:val="24"/>
        </w:rPr>
        <w:t>,</w:t>
      </w:r>
      <w:r w:rsidRPr="00E21A9C">
        <w:rPr>
          <w:rFonts w:asciiTheme="minorHAnsi" w:hAnsiTheme="minorHAnsi" w:cstheme="minorHAnsi"/>
          <w:color w:val="auto"/>
          <w:sz w:val="24"/>
          <w:szCs w:val="24"/>
        </w:rPr>
        <w:t xml:space="preserve"> and risk management personnel to further of the creation/maintenance of compliance programs consistent with each regulator’s anti-manipulation rules.</w:t>
      </w:r>
    </w:p>
    <w:p w14:paraId="142CE81E" w14:textId="59D9EEC1" w:rsidR="005A09C6" w:rsidRPr="00E21A9C" w:rsidRDefault="005A09C6" w:rsidP="00F53C80">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Compliance-Based Risk Optimization Strategy.</w:t>
      </w:r>
      <w:r w:rsidR="004B1822" w:rsidRPr="00E21A9C">
        <w:rPr>
          <w:rFonts w:asciiTheme="minorHAnsi" w:hAnsiTheme="minorHAnsi" w:cstheme="minorHAnsi"/>
          <w:color w:val="auto"/>
          <w:sz w:val="24"/>
          <w:szCs w:val="24"/>
        </w:rPr>
        <w:t xml:space="preserve"> </w:t>
      </w:r>
      <w:r w:rsidR="003654A5" w:rsidRPr="00E21A9C">
        <w:rPr>
          <w:rFonts w:asciiTheme="minorHAnsi" w:hAnsiTheme="minorHAnsi" w:cstheme="minorHAnsi"/>
          <w:color w:val="auto"/>
          <w:sz w:val="24"/>
          <w:szCs w:val="24"/>
        </w:rPr>
        <w:t>A</w:t>
      </w:r>
      <w:r w:rsidR="00241AF8" w:rsidRPr="00E21A9C">
        <w:rPr>
          <w:rFonts w:asciiTheme="minorHAnsi" w:hAnsiTheme="minorHAnsi" w:cstheme="minorHAnsi"/>
          <w:color w:val="auto"/>
          <w:sz w:val="24"/>
          <w:szCs w:val="24"/>
        </w:rPr>
        <w:t xml:space="preserve">ssist </w:t>
      </w:r>
      <w:r w:rsidRPr="00E21A9C">
        <w:rPr>
          <w:rFonts w:asciiTheme="minorHAnsi" w:hAnsiTheme="minorHAnsi" w:cstheme="minorHAnsi"/>
          <w:color w:val="auto"/>
          <w:sz w:val="24"/>
          <w:szCs w:val="24"/>
        </w:rPr>
        <w:t>trading firms in wrestling with the decisions as to how to expand their trading activity by trading a more diverse set of physical and financial products while remaining certain of compliance with agency anti-manipulation and disruptive trading practice rules.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These efforts are often linked with the development of trade surveillance systems, such that the costs of the increased compliance capabilities are partly offset by increased profitability of the client’s trading business.</w:t>
      </w:r>
    </w:p>
    <w:p w14:paraId="19D17608" w14:textId="0345F2E8" w:rsidR="005A09C6" w:rsidRPr="00E21A9C" w:rsidRDefault="005A09C6" w:rsidP="005628B9">
      <w:pPr>
        <w:pStyle w:val="ListParagraph"/>
        <w:numPr>
          <w:ilvl w:val="0"/>
          <w:numId w:val="41"/>
        </w:numPr>
        <w:spacing w:before="0" w:after="120" w:line="240" w:lineRule="auto"/>
        <w:ind w:left="990"/>
        <w:rPr>
          <w:rFonts w:cstheme="minorHAnsi"/>
          <w:b/>
          <w:szCs w:val="24"/>
        </w:rPr>
      </w:pPr>
      <w:r w:rsidRPr="00E21A9C">
        <w:rPr>
          <w:rFonts w:cstheme="minorHAnsi"/>
          <w:b/>
          <w:szCs w:val="24"/>
        </w:rPr>
        <w:t>Compliance Seminars:</w:t>
      </w:r>
      <w:r w:rsidR="004B1822" w:rsidRPr="00E21A9C">
        <w:rPr>
          <w:rFonts w:cstheme="minorHAnsi"/>
          <w:szCs w:val="24"/>
        </w:rPr>
        <w:t xml:space="preserve"> </w:t>
      </w:r>
      <w:r w:rsidR="003654A5" w:rsidRPr="00E21A9C">
        <w:rPr>
          <w:rFonts w:cstheme="minorHAnsi"/>
          <w:szCs w:val="24"/>
        </w:rPr>
        <w:t>P</w:t>
      </w:r>
      <w:r w:rsidRPr="00E21A9C">
        <w:rPr>
          <w:rFonts w:cstheme="minorHAnsi"/>
          <w:szCs w:val="24"/>
        </w:rPr>
        <w:t xml:space="preserve">rovide compliance seminars to trading and compliance staff of commodity trading firms in the </w:t>
      </w:r>
      <w:r w:rsidR="00B353D7" w:rsidRPr="00E21A9C">
        <w:rPr>
          <w:rFonts w:cstheme="minorHAnsi"/>
          <w:szCs w:val="24"/>
        </w:rPr>
        <w:t>US</w:t>
      </w:r>
      <w:r w:rsidRPr="00E21A9C">
        <w:rPr>
          <w:rFonts w:cstheme="minorHAnsi"/>
          <w:szCs w:val="24"/>
        </w:rPr>
        <w:t>, Canada and EU.</w:t>
      </w:r>
      <w:r w:rsidR="004B1822" w:rsidRPr="00E21A9C">
        <w:rPr>
          <w:rFonts w:cstheme="minorHAnsi"/>
          <w:szCs w:val="24"/>
        </w:rPr>
        <w:t xml:space="preserve"> </w:t>
      </w:r>
      <w:r w:rsidRPr="00E21A9C">
        <w:rPr>
          <w:rFonts w:cstheme="minorHAnsi"/>
          <w:szCs w:val="24"/>
        </w:rPr>
        <w:t>A variety of approaches and formats are used to provide a “fresh” perspective to traders if the seminars are conducted over a period of time.</w:t>
      </w:r>
    </w:p>
    <w:p w14:paraId="13A9CE0D" w14:textId="63230D94" w:rsidR="005A09C6" w:rsidRPr="00E21A9C" w:rsidRDefault="005A09C6" w:rsidP="0019005B">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Anti-Manipulation Strategies for Small Trading Firms.</w:t>
      </w:r>
      <w:r w:rsidR="004B1822" w:rsidRPr="00E21A9C">
        <w:rPr>
          <w:rFonts w:asciiTheme="minorHAnsi" w:hAnsiTheme="minorHAnsi" w:cstheme="minorHAnsi"/>
          <w:color w:val="auto"/>
          <w:sz w:val="24"/>
          <w:szCs w:val="24"/>
        </w:rPr>
        <w:t xml:space="preserve"> </w:t>
      </w:r>
      <w:r w:rsidR="00CF1936" w:rsidRPr="00E21A9C">
        <w:rPr>
          <w:rFonts w:asciiTheme="minorHAnsi" w:hAnsiTheme="minorHAnsi" w:cstheme="minorHAnsi"/>
          <w:color w:val="auto"/>
          <w:sz w:val="24"/>
          <w:szCs w:val="24"/>
        </w:rPr>
        <w:t>Tailore</w:t>
      </w:r>
      <w:r w:rsidR="00E5250F" w:rsidRPr="00E21A9C">
        <w:rPr>
          <w:rFonts w:asciiTheme="minorHAnsi" w:hAnsiTheme="minorHAnsi" w:cstheme="minorHAnsi"/>
          <w:color w:val="auto"/>
          <w:sz w:val="24"/>
          <w:szCs w:val="24"/>
        </w:rPr>
        <w:t>d</w:t>
      </w:r>
      <w:r w:rsidRPr="00E21A9C">
        <w:rPr>
          <w:rFonts w:asciiTheme="minorHAnsi" w:hAnsiTheme="minorHAnsi" w:cstheme="minorHAnsi"/>
          <w:color w:val="auto"/>
          <w:sz w:val="24"/>
          <w:szCs w:val="24"/>
        </w:rPr>
        <w:t xml:space="preserve"> to boutique trading shops who seek to avoid manipulative trading but operate with limited compliance resources.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These engagements tend to foster consulting relationships that evolve as the client’s trading operations grow in scope and complexity.</w:t>
      </w:r>
    </w:p>
    <w:p w14:paraId="74528496" w14:textId="5464DA2C" w:rsidR="005A09C6" w:rsidRPr="00E21A9C" w:rsidRDefault="005A09C6" w:rsidP="0019005B">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Compliance Seminars for European Utilities and Commodity Trading Firms.</w:t>
      </w:r>
      <w:r w:rsidR="004B1822" w:rsidRPr="00E21A9C">
        <w:rPr>
          <w:rFonts w:asciiTheme="minorHAnsi" w:hAnsiTheme="minorHAnsi" w:cstheme="minorHAnsi"/>
          <w:color w:val="auto"/>
          <w:sz w:val="24"/>
          <w:szCs w:val="24"/>
        </w:rPr>
        <w:t xml:space="preserve"> </w:t>
      </w:r>
      <w:r w:rsidR="00CF1936" w:rsidRPr="00E21A9C">
        <w:rPr>
          <w:rFonts w:asciiTheme="minorHAnsi" w:hAnsiTheme="minorHAnsi" w:cstheme="minorHAnsi"/>
          <w:color w:val="auto"/>
          <w:sz w:val="24"/>
          <w:szCs w:val="24"/>
        </w:rPr>
        <w:t>P</w:t>
      </w:r>
      <w:r w:rsidRPr="00E21A9C">
        <w:rPr>
          <w:rFonts w:asciiTheme="minorHAnsi" w:hAnsiTheme="minorHAnsi" w:cstheme="minorHAnsi"/>
          <w:color w:val="auto"/>
          <w:sz w:val="24"/>
          <w:szCs w:val="24"/>
        </w:rPr>
        <w:t>resentations</w:t>
      </w:r>
      <w:r w:rsidR="00CF1936" w:rsidRPr="00E21A9C">
        <w:rPr>
          <w:rFonts w:asciiTheme="minorHAnsi" w:hAnsiTheme="minorHAnsi" w:cstheme="minorHAnsi"/>
          <w:color w:val="auto"/>
          <w:sz w:val="24"/>
          <w:szCs w:val="24"/>
        </w:rPr>
        <w:t xml:space="preserve"> made</w:t>
      </w:r>
      <w:r w:rsidRPr="00E21A9C">
        <w:rPr>
          <w:rFonts w:asciiTheme="minorHAnsi" w:hAnsiTheme="minorHAnsi" w:cstheme="minorHAnsi"/>
          <w:color w:val="auto"/>
          <w:sz w:val="24"/>
          <w:szCs w:val="24"/>
        </w:rPr>
        <w:t xml:space="preserve"> to the traders, compliance personnel</w:t>
      </w:r>
      <w:r w:rsidR="00BF6870" w:rsidRPr="00E21A9C">
        <w:rPr>
          <w:rFonts w:asciiTheme="minorHAnsi" w:hAnsiTheme="minorHAnsi" w:cstheme="minorHAnsi"/>
          <w:color w:val="auto"/>
          <w:sz w:val="24"/>
          <w:szCs w:val="24"/>
        </w:rPr>
        <w:t>,</w:t>
      </w:r>
      <w:r w:rsidRPr="00E21A9C">
        <w:rPr>
          <w:rFonts w:asciiTheme="minorHAnsi" w:hAnsiTheme="minorHAnsi" w:cstheme="minorHAnsi"/>
          <w:color w:val="auto"/>
          <w:sz w:val="24"/>
          <w:szCs w:val="24"/>
        </w:rPr>
        <w:t xml:space="preserve"> and executives of European electric utilities and comm</w:t>
      </w:r>
      <w:r w:rsidR="00081012" w:rsidRPr="00E21A9C">
        <w:rPr>
          <w:rFonts w:asciiTheme="minorHAnsi" w:hAnsiTheme="minorHAnsi" w:cstheme="minorHAnsi"/>
          <w:color w:val="auto"/>
          <w:sz w:val="24"/>
          <w:szCs w:val="24"/>
        </w:rPr>
        <w:t>odities trading firms,</w:t>
      </w:r>
      <w:r w:rsidRPr="00E21A9C">
        <w:rPr>
          <w:rFonts w:asciiTheme="minorHAnsi" w:hAnsiTheme="minorHAnsi" w:cstheme="minorHAnsi"/>
          <w:color w:val="auto"/>
          <w:sz w:val="24"/>
          <w:szCs w:val="24"/>
        </w:rPr>
        <w:t xml:space="preserve"> focus</w:t>
      </w:r>
      <w:r w:rsidR="00081012" w:rsidRPr="00E21A9C">
        <w:rPr>
          <w:rFonts w:asciiTheme="minorHAnsi" w:hAnsiTheme="minorHAnsi" w:cstheme="minorHAnsi"/>
          <w:color w:val="auto"/>
          <w:sz w:val="24"/>
          <w:szCs w:val="24"/>
        </w:rPr>
        <w:t>ing</w:t>
      </w:r>
      <w:r w:rsidRPr="00E21A9C">
        <w:rPr>
          <w:rFonts w:asciiTheme="minorHAnsi" w:hAnsiTheme="minorHAnsi" w:cstheme="minorHAnsi"/>
          <w:color w:val="auto"/>
          <w:sz w:val="24"/>
          <w:szCs w:val="24"/>
        </w:rPr>
        <w:t xml:space="preserve"> on issues related to withholding, cross-market manipulation, gaming of market rules, uneconomic behavior, false or misleading information, the </w:t>
      </w:r>
      <w:r w:rsidR="00EC44FE" w:rsidRPr="00E21A9C">
        <w:rPr>
          <w:rFonts w:asciiTheme="minorHAnsi" w:hAnsiTheme="minorHAnsi" w:cstheme="minorHAnsi"/>
          <w:color w:val="auto"/>
          <w:sz w:val="24"/>
          <w:szCs w:val="24"/>
        </w:rPr>
        <w:t xml:space="preserve">proper </w:t>
      </w:r>
      <w:r w:rsidRPr="00E21A9C">
        <w:rPr>
          <w:rFonts w:asciiTheme="minorHAnsi" w:hAnsiTheme="minorHAnsi" w:cstheme="minorHAnsi"/>
          <w:color w:val="auto"/>
          <w:sz w:val="24"/>
          <w:szCs w:val="24"/>
        </w:rPr>
        <w:t xml:space="preserve">documentation of trading strategies, and </w:t>
      </w:r>
      <w:r w:rsidR="00EC44FE" w:rsidRPr="00E21A9C">
        <w:rPr>
          <w:rFonts w:asciiTheme="minorHAnsi" w:hAnsiTheme="minorHAnsi" w:cstheme="minorHAnsi"/>
          <w:color w:val="auto"/>
          <w:sz w:val="24"/>
          <w:szCs w:val="24"/>
        </w:rPr>
        <w:t xml:space="preserve">the </w:t>
      </w:r>
      <w:r w:rsidRPr="00E21A9C">
        <w:rPr>
          <w:rFonts w:asciiTheme="minorHAnsi" w:hAnsiTheme="minorHAnsi" w:cstheme="minorHAnsi"/>
          <w:color w:val="auto"/>
          <w:sz w:val="24"/>
          <w:szCs w:val="24"/>
        </w:rPr>
        <w:t xml:space="preserve">creation of processes to assure compliance with REMIT, MAD, TFEU 101 and 102, and applicable national laws. </w:t>
      </w:r>
    </w:p>
    <w:p w14:paraId="317B7A59" w14:textId="77777777" w:rsidR="008125B2" w:rsidRPr="00E21A9C" w:rsidRDefault="008125B2">
      <w:pPr>
        <w:rPr>
          <w:rFonts w:eastAsia="Times New Roman" w:cstheme="minorHAnsi"/>
          <w:b/>
          <w:szCs w:val="24"/>
          <w:lang w:eastAsia="en-US"/>
        </w:rPr>
      </w:pPr>
      <w:r w:rsidRPr="00E21A9C">
        <w:rPr>
          <w:rFonts w:cstheme="minorHAnsi"/>
          <w:b/>
          <w:szCs w:val="24"/>
        </w:rPr>
        <w:br w:type="page"/>
      </w:r>
    </w:p>
    <w:p w14:paraId="1CB573B8" w14:textId="41C8052E" w:rsidR="005A09C6" w:rsidRPr="00E21A9C" w:rsidRDefault="005A09C6" w:rsidP="0019005B">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lastRenderedPageBreak/>
        <w:t>Seminars for North American Utilities.</w:t>
      </w:r>
      <w:r w:rsidR="004B1822" w:rsidRPr="00E21A9C">
        <w:rPr>
          <w:rFonts w:asciiTheme="minorHAnsi" w:hAnsiTheme="minorHAnsi" w:cstheme="minorHAnsi"/>
          <w:color w:val="auto"/>
          <w:sz w:val="24"/>
          <w:szCs w:val="24"/>
        </w:rPr>
        <w:t xml:space="preserve"> </w:t>
      </w:r>
      <w:r w:rsidR="00CF1936" w:rsidRPr="00E21A9C">
        <w:rPr>
          <w:rFonts w:asciiTheme="minorHAnsi" w:hAnsiTheme="minorHAnsi" w:cstheme="minorHAnsi"/>
          <w:color w:val="auto"/>
          <w:sz w:val="24"/>
          <w:szCs w:val="24"/>
        </w:rPr>
        <w:t>Presentations</w:t>
      </w:r>
      <w:r w:rsidRPr="00E21A9C">
        <w:rPr>
          <w:rFonts w:asciiTheme="minorHAnsi" w:hAnsiTheme="minorHAnsi" w:cstheme="minorHAnsi"/>
          <w:color w:val="auto"/>
          <w:sz w:val="24"/>
          <w:szCs w:val="24"/>
        </w:rPr>
        <w:t xml:space="preserve"> to traders and executives of electric and gas utilities with North American energy trading </w:t>
      </w:r>
      <w:r w:rsidR="00AC4642" w:rsidRPr="00E21A9C">
        <w:rPr>
          <w:rFonts w:asciiTheme="minorHAnsi" w:hAnsiTheme="minorHAnsi" w:cstheme="minorHAnsi"/>
          <w:color w:val="auto"/>
          <w:sz w:val="24"/>
          <w:szCs w:val="24"/>
        </w:rPr>
        <w:t>operations</w:t>
      </w:r>
      <w:r w:rsidRPr="00E21A9C">
        <w:rPr>
          <w:rFonts w:asciiTheme="minorHAnsi" w:hAnsiTheme="minorHAnsi" w:cstheme="minorHAnsi"/>
          <w:color w:val="auto"/>
          <w:sz w:val="24"/>
          <w:szCs w:val="24"/>
        </w:rPr>
        <w:t>.</w:t>
      </w:r>
      <w:r w:rsidR="004B1822" w:rsidRPr="00E21A9C">
        <w:rPr>
          <w:rFonts w:asciiTheme="minorHAnsi" w:hAnsiTheme="minorHAnsi" w:cstheme="minorHAnsi"/>
          <w:color w:val="auto"/>
          <w:sz w:val="24"/>
          <w:szCs w:val="24"/>
        </w:rPr>
        <w:t xml:space="preserve"> </w:t>
      </w:r>
      <w:r w:rsidR="00AC4642" w:rsidRPr="00E21A9C">
        <w:rPr>
          <w:rFonts w:asciiTheme="minorHAnsi" w:hAnsiTheme="minorHAnsi" w:cstheme="minorHAnsi"/>
          <w:color w:val="auto"/>
          <w:sz w:val="24"/>
          <w:szCs w:val="24"/>
        </w:rPr>
        <w:t>Traders’ p</w:t>
      </w:r>
      <w:r w:rsidRPr="00E21A9C">
        <w:rPr>
          <w:rFonts w:asciiTheme="minorHAnsi" w:hAnsiTheme="minorHAnsi" w:cstheme="minorHAnsi"/>
          <w:color w:val="auto"/>
          <w:sz w:val="24"/>
          <w:szCs w:val="24"/>
        </w:rPr>
        <w:t>resentations focus on identifying the behavior likely to be deemed suspicious by the FERC, CFTC or Canadian regulators.</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 xml:space="preserve">Presentations to </w:t>
      </w:r>
      <w:r w:rsidR="003660C0" w:rsidRPr="00E21A9C">
        <w:rPr>
          <w:rFonts w:asciiTheme="minorHAnsi" w:hAnsiTheme="minorHAnsi" w:cstheme="minorHAnsi"/>
          <w:color w:val="auto"/>
          <w:sz w:val="24"/>
          <w:szCs w:val="24"/>
        </w:rPr>
        <w:t>compliance</w:t>
      </w:r>
      <w:r w:rsidRPr="00E21A9C">
        <w:rPr>
          <w:rFonts w:asciiTheme="minorHAnsi" w:hAnsiTheme="minorHAnsi" w:cstheme="minorHAnsi"/>
          <w:color w:val="auto"/>
          <w:sz w:val="24"/>
          <w:szCs w:val="24"/>
        </w:rPr>
        <w:t xml:space="preserve"> managers focus on to strategically detecting and deterring such behavior; executive sessions are interactive and focus on building a culture of compliance.</w:t>
      </w:r>
    </w:p>
    <w:p w14:paraId="116F47FB" w14:textId="0786BC45" w:rsidR="00E5250F" w:rsidRPr="00E21A9C" w:rsidRDefault="005A09C6" w:rsidP="00E5250F">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Compliance Seminars for an International Bank.</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Provided compliance seminars for the traders, compliance personnel, and executives of a major bank with an extensive commodities trading unit.</w:t>
      </w:r>
      <w:r w:rsidR="004B1822" w:rsidRPr="00E21A9C">
        <w:rPr>
          <w:rFonts w:asciiTheme="minorHAnsi" w:hAnsiTheme="minorHAnsi" w:cstheme="minorHAnsi"/>
          <w:color w:val="auto"/>
          <w:sz w:val="24"/>
          <w:szCs w:val="24"/>
        </w:rPr>
        <w:t xml:space="preserve"> </w:t>
      </w:r>
      <w:r w:rsidRPr="00E21A9C">
        <w:rPr>
          <w:rFonts w:asciiTheme="minorHAnsi" w:hAnsiTheme="minorHAnsi" w:cstheme="minorHAnsi"/>
          <w:color w:val="auto"/>
          <w:sz w:val="24"/>
          <w:szCs w:val="24"/>
        </w:rPr>
        <w:t xml:space="preserve">Focus was on the recognition of behavior likely to draw regulatory scrutiny under the fraud-based and “artificial” price anti-manipulation rules in place in the </w:t>
      </w:r>
      <w:r w:rsidR="00B353D7" w:rsidRPr="00E21A9C">
        <w:rPr>
          <w:rFonts w:asciiTheme="minorHAnsi" w:hAnsiTheme="minorHAnsi" w:cstheme="minorHAnsi"/>
          <w:color w:val="auto"/>
          <w:sz w:val="24"/>
          <w:szCs w:val="24"/>
        </w:rPr>
        <w:t>US</w:t>
      </w:r>
      <w:r w:rsidRPr="00E21A9C">
        <w:rPr>
          <w:rFonts w:asciiTheme="minorHAnsi" w:hAnsiTheme="minorHAnsi" w:cstheme="minorHAnsi"/>
          <w:color w:val="auto"/>
          <w:sz w:val="24"/>
          <w:szCs w:val="24"/>
        </w:rPr>
        <w:t xml:space="preserve"> and Europe; understanding of the potential liability associated with violations of these rules; and mechanisms </w:t>
      </w:r>
      <w:r w:rsidR="00A2166E" w:rsidRPr="00E21A9C">
        <w:rPr>
          <w:rFonts w:asciiTheme="minorHAnsi" w:hAnsiTheme="minorHAnsi" w:cstheme="minorHAnsi"/>
          <w:color w:val="auto"/>
          <w:sz w:val="24"/>
          <w:szCs w:val="24"/>
        </w:rPr>
        <w:t>to</w:t>
      </w:r>
      <w:r w:rsidRPr="00E21A9C">
        <w:rPr>
          <w:rFonts w:asciiTheme="minorHAnsi" w:hAnsiTheme="minorHAnsi" w:cstheme="minorHAnsi"/>
          <w:color w:val="auto"/>
          <w:sz w:val="24"/>
          <w:szCs w:val="24"/>
        </w:rPr>
        <w:t xml:space="preserve"> establish internal surveillance systems to detect such behavior.</w:t>
      </w:r>
    </w:p>
    <w:p w14:paraId="22A023F2" w14:textId="3BA50C83" w:rsidR="008D413B" w:rsidRPr="00E21A9C" w:rsidRDefault="005A09C6" w:rsidP="00E5250F">
      <w:pPr>
        <w:pStyle w:val="BulletedList"/>
        <w:numPr>
          <w:ilvl w:val="1"/>
          <w:numId w:val="41"/>
        </w:numPr>
        <w:spacing w:after="60"/>
        <w:ind w:left="135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Anti-Manipulation Seminars for Law Firms and Trade Associations.</w:t>
      </w:r>
      <w:r w:rsidR="004B1822" w:rsidRPr="00E21A9C">
        <w:rPr>
          <w:rFonts w:asciiTheme="minorHAnsi" w:hAnsiTheme="minorHAnsi" w:cstheme="minorHAnsi"/>
          <w:color w:val="auto"/>
          <w:sz w:val="24"/>
          <w:szCs w:val="24"/>
        </w:rPr>
        <w:t xml:space="preserve"> </w:t>
      </w:r>
      <w:r w:rsidR="003C37FE" w:rsidRPr="00E21A9C">
        <w:rPr>
          <w:rFonts w:asciiTheme="minorHAnsi" w:hAnsiTheme="minorHAnsi" w:cstheme="minorHAnsi"/>
          <w:color w:val="auto"/>
          <w:sz w:val="24"/>
          <w:szCs w:val="24"/>
        </w:rPr>
        <w:t>S</w:t>
      </w:r>
      <w:r w:rsidRPr="00E21A9C">
        <w:rPr>
          <w:rFonts w:asciiTheme="minorHAnsi" w:hAnsiTheme="minorHAnsi" w:cstheme="minorHAnsi"/>
          <w:color w:val="auto"/>
          <w:sz w:val="24"/>
          <w:szCs w:val="24"/>
        </w:rPr>
        <w:t>eminars for attorneys and industry groups who seek fresh perspectives concerning how their clients are or could be impacted by changes to laws and regulatory postures concerning application</w:t>
      </w:r>
      <w:r w:rsidR="00D95A1B" w:rsidRPr="00E21A9C">
        <w:rPr>
          <w:rFonts w:asciiTheme="minorHAnsi" w:hAnsiTheme="minorHAnsi" w:cstheme="minorHAnsi"/>
          <w:color w:val="auto"/>
          <w:sz w:val="24"/>
          <w:szCs w:val="24"/>
        </w:rPr>
        <w:t>s</w:t>
      </w:r>
      <w:r w:rsidRPr="00E21A9C">
        <w:rPr>
          <w:rFonts w:asciiTheme="minorHAnsi" w:hAnsiTheme="minorHAnsi" w:cstheme="minorHAnsi"/>
          <w:color w:val="auto"/>
          <w:sz w:val="24"/>
          <w:szCs w:val="24"/>
        </w:rPr>
        <w:t xml:space="preserve"> of anti-manipulation rules, anti-disruptive trading practices rules, antitrust law</w:t>
      </w:r>
      <w:r w:rsidR="00D95A1B" w:rsidRPr="00E21A9C">
        <w:rPr>
          <w:rFonts w:asciiTheme="minorHAnsi" w:hAnsiTheme="minorHAnsi" w:cstheme="minorHAnsi"/>
          <w:color w:val="auto"/>
          <w:sz w:val="24"/>
          <w:szCs w:val="24"/>
        </w:rPr>
        <w:t>,</w:t>
      </w:r>
      <w:r w:rsidRPr="00E21A9C">
        <w:rPr>
          <w:rFonts w:asciiTheme="minorHAnsi" w:hAnsiTheme="minorHAnsi" w:cstheme="minorHAnsi"/>
          <w:color w:val="auto"/>
          <w:sz w:val="24"/>
          <w:szCs w:val="24"/>
        </w:rPr>
        <w:t xml:space="preserve"> and other laws concerning fraud or the provision of false information in trading contexts.</w:t>
      </w:r>
    </w:p>
    <w:p w14:paraId="2A547CAA" w14:textId="77777777" w:rsidR="008D413B" w:rsidRPr="008D413B" w:rsidRDefault="008D413B" w:rsidP="0030469D">
      <w:pPr>
        <w:pStyle w:val="ListParagraph"/>
        <w:spacing w:before="0"/>
      </w:pPr>
    </w:p>
    <w:p w14:paraId="30A52E5F" w14:textId="01C743CF" w:rsidR="008D413B" w:rsidRPr="00870DD0" w:rsidRDefault="008D413B" w:rsidP="00CD3821">
      <w:pPr>
        <w:pStyle w:val="TitleOfficeLocation"/>
        <w:ind w:left="450"/>
        <w:rPr>
          <w:i/>
        </w:rPr>
      </w:pPr>
      <w:r w:rsidRPr="00C119AF">
        <w:rPr>
          <w:i/>
          <w:color w:val="002B54" w:themeColor="text2"/>
        </w:rPr>
        <w:t>Market Monitoring</w:t>
      </w:r>
      <w:r w:rsidR="00712D30">
        <w:rPr>
          <w:i/>
          <w:color w:val="002B54" w:themeColor="text2"/>
        </w:rPr>
        <w:t>,</w:t>
      </w:r>
      <w:r w:rsidRPr="00C119AF">
        <w:rPr>
          <w:i/>
          <w:color w:val="002B54" w:themeColor="text2"/>
        </w:rPr>
        <w:t xml:space="preserve"> </w:t>
      </w:r>
      <w:r w:rsidR="002550E3" w:rsidRPr="00C119AF">
        <w:rPr>
          <w:i/>
          <w:color w:val="002B54" w:themeColor="text2"/>
        </w:rPr>
        <w:t>Trade Surveillance</w:t>
      </w:r>
      <w:r w:rsidR="00712D30">
        <w:rPr>
          <w:i/>
          <w:color w:val="002B54" w:themeColor="text2"/>
        </w:rPr>
        <w:t>, and Benchmarks</w:t>
      </w:r>
    </w:p>
    <w:p w14:paraId="714B8258" w14:textId="77777777" w:rsidR="00712D30" w:rsidRPr="00E21A9C" w:rsidRDefault="00712D30" w:rsidP="008D413B">
      <w:pPr>
        <w:pStyle w:val="BulletedList"/>
        <w:numPr>
          <w:ilvl w:val="0"/>
          <w:numId w:val="42"/>
        </w:numPr>
        <w:spacing w:after="6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ISDA Financial Benchmark Fallbacks.</w:t>
      </w:r>
      <w:r w:rsidRPr="00E21A9C">
        <w:rPr>
          <w:rFonts w:asciiTheme="minorHAnsi" w:hAnsiTheme="minorHAnsi" w:cstheme="minorHAnsi"/>
          <w:color w:val="auto"/>
          <w:sz w:val="24"/>
          <w:szCs w:val="24"/>
        </w:rPr>
        <w:t xml:space="preserve"> Assisted ISDA in evaluating market participant responses related to its Benchmark Fallbacks Consultation concerning the fallbacks to be used in the event of discontinuation of the various IBORs. Consistent with the Brattle report’s findings (12/20/18), ISDA developed fallbacks to include in its standard definitions based on the compounded setting in arrears rate and the historical mean/median approach to the spread adjustment for all of the benchmarks covered by the consultation.</w:t>
      </w:r>
    </w:p>
    <w:p w14:paraId="4BF0D2A5" w14:textId="06652510" w:rsidR="008D413B" w:rsidRPr="00E21A9C" w:rsidRDefault="008D413B" w:rsidP="008D413B">
      <w:pPr>
        <w:pStyle w:val="BulletedList"/>
        <w:numPr>
          <w:ilvl w:val="0"/>
          <w:numId w:val="42"/>
        </w:numPr>
        <w:spacing w:after="6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Assistance to Western Australian Regulator.</w:t>
      </w:r>
      <w:r w:rsidRPr="00E21A9C">
        <w:rPr>
          <w:rFonts w:asciiTheme="minorHAnsi" w:hAnsiTheme="minorHAnsi" w:cstheme="minorHAnsi"/>
          <w:color w:val="auto"/>
          <w:sz w:val="24"/>
          <w:szCs w:val="24"/>
        </w:rPr>
        <w:t xml:space="preserve"> Assisted the Western Australia electric regulator with the development of screens to detect for anticompetitive behavior in its future capacity market design. In addition to building screens to detect for the exploitive use of market power, we advised the regulator to include screens to detect for intentionally-uneconomic behavior designed to suppress prices in benefit to market participants who are “net short” buyers in the capacity market.</w:t>
      </w:r>
    </w:p>
    <w:p w14:paraId="70CDDF80" w14:textId="338A85B6" w:rsidR="008D413B" w:rsidRPr="00E21A9C" w:rsidRDefault="008D413B" w:rsidP="008D413B">
      <w:pPr>
        <w:pStyle w:val="BulletedList"/>
        <w:numPr>
          <w:ilvl w:val="0"/>
          <w:numId w:val="42"/>
        </w:numPr>
        <w:spacing w:after="6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Assistance to Canadian Electricity Market Monitor.</w:t>
      </w:r>
      <w:r w:rsidRPr="00E21A9C">
        <w:rPr>
          <w:rFonts w:asciiTheme="minorHAnsi" w:hAnsiTheme="minorHAnsi" w:cstheme="minorHAnsi"/>
          <w:color w:val="auto"/>
          <w:sz w:val="24"/>
          <w:szCs w:val="24"/>
        </w:rPr>
        <w:t xml:space="preserve"> Worked for the market monitoring unit of a provincial regulator to assist it with the implementation of its anti-manipulation rules. The project involved application of </w:t>
      </w:r>
      <w:r w:rsidR="003654A5" w:rsidRPr="00E21A9C">
        <w:rPr>
          <w:rFonts w:asciiTheme="minorHAnsi" w:hAnsiTheme="minorHAnsi" w:cstheme="minorHAnsi"/>
          <w:color w:val="auto"/>
          <w:sz w:val="24"/>
          <w:szCs w:val="24"/>
        </w:rPr>
        <w:t>the manipulation</w:t>
      </w:r>
      <w:r w:rsidRPr="00E21A9C">
        <w:rPr>
          <w:rFonts w:asciiTheme="minorHAnsi" w:hAnsiTheme="minorHAnsi" w:cstheme="minorHAnsi"/>
          <w:color w:val="auto"/>
          <w:sz w:val="24"/>
          <w:szCs w:val="24"/>
        </w:rPr>
        <w:t xml:space="preserve"> framework to various scenarios cited by the market monitor as potentially in violation of the rules, as well as develop processes and procedures to monitor for and detect manipulative activity and enforce the rules if violations were confirmed.</w:t>
      </w:r>
    </w:p>
    <w:p w14:paraId="0AED3579" w14:textId="77777777" w:rsidR="008125B2" w:rsidRPr="00E21A9C" w:rsidRDefault="008125B2">
      <w:pPr>
        <w:rPr>
          <w:rFonts w:eastAsia="Times New Roman" w:cstheme="minorHAnsi"/>
          <w:b/>
          <w:szCs w:val="24"/>
          <w:lang w:eastAsia="en-US"/>
        </w:rPr>
      </w:pPr>
      <w:r w:rsidRPr="00E21A9C">
        <w:rPr>
          <w:rFonts w:cstheme="minorHAnsi"/>
          <w:b/>
          <w:szCs w:val="24"/>
        </w:rPr>
        <w:br w:type="page"/>
      </w:r>
    </w:p>
    <w:p w14:paraId="2504305B" w14:textId="31790623" w:rsidR="008D413B" w:rsidRPr="00C8641A" w:rsidRDefault="008D413B" w:rsidP="008D413B">
      <w:pPr>
        <w:pStyle w:val="BulletedList"/>
        <w:numPr>
          <w:ilvl w:val="0"/>
          <w:numId w:val="42"/>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Assistance to the Italian Natural Gas Market Monitor.</w:t>
      </w:r>
      <w:r w:rsidRPr="00C8641A">
        <w:rPr>
          <w:rFonts w:asciiTheme="minorHAnsi" w:hAnsiTheme="minorHAnsi" w:cstheme="minorHAnsi"/>
          <w:color w:val="auto"/>
          <w:sz w:val="24"/>
          <w:szCs w:val="24"/>
        </w:rPr>
        <w:t xml:space="preserve"> Retained by the Italian electricity and natural gas market monitor to assist it in implementing its data surveillance responsibilities under REMIT and other applicable European competition laws. The study presented a comprehensive evaluation of the data that is and will be available to the market monitor, the types of manipulative and/or anticompetitive behavior that the market monitor should seek to detect, and the tools the market monitor can employ to screen the available data for the types of behavior identified.</w:t>
      </w:r>
    </w:p>
    <w:p w14:paraId="03FF7A3F" w14:textId="77777777" w:rsidR="002550E3" w:rsidRPr="00C8641A" w:rsidRDefault="002550E3" w:rsidP="002550E3">
      <w:pPr>
        <w:pStyle w:val="BulletedList"/>
        <w:numPr>
          <w:ilvl w:val="0"/>
          <w:numId w:val="42"/>
        </w:numPr>
        <w:spacing w:after="60"/>
        <w:ind w:left="990" w:right="0"/>
        <w:jc w:val="left"/>
        <w:rPr>
          <w:color w:val="auto"/>
        </w:rPr>
      </w:pPr>
      <w:r w:rsidRPr="00C8641A">
        <w:rPr>
          <w:rFonts w:asciiTheme="minorHAnsi" w:hAnsiTheme="minorHAnsi" w:cstheme="minorHAnsi"/>
          <w:b/>
          <w:color w:val="auto"/>
          <w:sz w:val="24"/>
          <w:szCs w:val="24"/>
        </w:rPr>
        <w:t>Compliance Seminar for Regulators in the Russian Federation.</w:t>
      </w:r>
      <w:r w:rsidRPr="00C8641A">
        <w:rPr>
          <w:rFonts w:asciiTheme="minorHAnsi" w:hAnsiTheme="minorHAnsi" w:cstheme="minorHAnsi"/>
          <w:color w:val="auto"/>
          <w:sz w:val="24"/>
          <w:szCs w:val="24"/>
        </w:rPr>
        <w:t xml:space="preserve"> Delivered a web-based presentation to NP Market Council and the representatives of several Russian market participants, ministries and other regulators of the Russian electric markets.</w:t>
      </w:r>
    </w:p>
    <w:p w14:paraId="2CBFDA77" w14:textId="465FA2C6" w:rsidR="008D413B" w:rsidRPr="00C8641A" w:rsidRDefault="008D413B" w:rsidP="008D413B">
      <w:pPr>
        <w:pStyle w:val="BulletedList"/>
        <w:numPr>
          <w:ilvl w:val="0"/>
          <w:numId w:val="42"/>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Analysis of Potential Carbon Market Manipulations.</w:t>
      </w:r>
      <w:r w:rsidRPr="00C8641A">
        <w:rPr>
          <w:rFonts w:asciiTheme="minorHAnsi" w:hAnsiTheme="minorHAnsi" w:cstheme="minorHAnsi"/>
          <w:color w:val="auto"/>
          <w:sz w:val="24"/>
          <w:szCs w:val="24"/>
        </w:rPr>
        <w:t xml:space="preserve"> Assisted studies to evaluate the potential exposure of the proposed California and EU carbon cap and trade markets to manipulative activity.</w:t>
      </w:r>
    </w:p>
    <w:p w14:paraId="0C40F3C7" w14:textId="77777777" w:rsidR="003C37FE" w:rsidRPr="00C8641A" w:rsidRDefault="008D413B" w:rsidP="003C37FE">
      <w:pPr>
        <w:pStyle w:val="BulletedList"/>
        <w:numPr>
          <w:ilvl w:val="0"/>
          <w:numId w:val="42"/>
        </w:numPr>
        <w:spacing w:after="60"/>
        <w:ind w:left="990" w:right="0"/>
        <w:jc w:val="left"/>
        <w:rPr>
          <w:color w:val="auto"/>
        </w:rPr>
      </w:pPr>
      <w:r w:rsidRPr="00C8641A">
        <w:rPr>
          <w:rFonts w:asciiTheme="minorHAnsi" w:hAnsiTheme="minorHAnsi" w:cstheme="minorHAnsi"/>
          <w:b/>
          <w:color w:val="auto"/>
          <w:sz w:val="24"/>
          <w:szCs w:val="24"/>
        </w:rPr>
        <w:t>Assessment of Electricity Market Surveillance Methodologies.</w:t>
      </w:r>
      <w:r w:rsidRPr="00C8641A">
        <w:rPr>
          <w:rFonts w:asciiTheme="minorHAnsi" w:hAnsiTheme="minorHAnsi" w:cstheme="minorHAnsi"/>
          <w:color w:val="auto"/>
          <w:sz w:val="24"/>
          <w:szCs w:val="24"/>
        </w:rPr>
        <w:t xml:space="preserve"> Helped to identify the marginal benefits and costs associated with obtaining, compiling, and analyzing data from a variety of existing and potential new sources available to the FERC. Inherent to this effort was the development of an understanding as to what linkages may be formed between data of varying transparencies and value. Made recommendations regarding the priority of the surveillance efforts that the FERC should pursue.</w:t>
      </w:r>
    </w:p>
    <w:p w14:paraId="31F409E4" w14:textId="24FF8EA1" w:rsidR="005A09C6" w:rsidRPr="00C8641A" w:rsidRDefault="005A09C6" w:rsidP="00B748AF">
      <w:pPr>
        <w:pStyle w:val="ListParagraph"/>
        <w:numPr>
          <w:ilvl w:val="0"/>
          <w:numId w:val="41"/>
        </w:numPr>
        <w:spacing w:before="0" w:after="60" w:line="240" w:lineRule="auto"/>
        <w:ind w:left="990"/>
        <w:rPr>
          <w:rFonts w:cstheme="minorHAnsi"/>
          <w:b/>
          <w:szCs w:val="24"/>
        </w:rPr>
      </w:pPr>
      <w:r w:rsidRPr="00C8641A">
        <w:rPr>
          <w:rFonts w:cstheme="minorHAnsi"/>
          <w:b/>
          <w:szCs w:val="24"/>
        </w:rPr>
        <w:t>Development of Internal Trade Surveillance Systems.</w:t>
      </w:r>
      <w:r w:rsidR="004B1822" w:rsidRPr="00C8641A">
        <w:rPr>
          <w:rFonts w:cstheme="minorHAnsi"/>
          <w:szCs w:val="24"/>
        </w:rPr>
        <w:t xml:space="preserve"> </w:t>
      </w:r>
      <w:r w:rsidR="00917AED" w:rsidRPr="00C8641A">
        <w:rPr>
          <w:rFonts w:cstheme="minorHAnsi"/>
          <w:szCs w:val="24"/>
        </w:rPr>
        <w:t>A</w:t>
      </w:r>
      <w:r w:rsidR="00831B46" w:rsidRPr="00C8641A">
        <w:rPr>
          <w:rFonts w:cstheme="minorHAnsi"/>
          <w:szCs w:val="24"/>
        </w:rPr>
        <w:t>ssisted</w:t>
      </w:r>
      <w:r w:rsidRPr="00C8641A">
        <w:rPr>
          <w:rFonts w:cstheme="minorHAnsi"/>
          <w:szCs w:val="24"/>
        </w:rPr>
        <w:t xml:space="preserve"> several market participants with their in-house builds of trad</w:t>
      </w:r>
      <w:r w:rsidR="00831B46" w:rsidRPr="00C8641A">
        <w:rPr>
          <w:rFonts w:cstheme="minorHAnsi"/>
          <w:szCs w:val="24"/>
        </w:rPr>
        <w:t>e surveillance systems</w:t>
      </w:r>
      <w:r w:rsidRPr="00C8641A">
        <w:rPr>
          <w:rFonts w:cstheme="minorHAnsi"/>
          <w:szCs w:val="24"/>
        </w:rPr>
        <w:t>. The goal is to take meaningful steps to the creation of automated systems to screen for, detect and report potentially manipulative or fraudulent behavior, while avoiding excessive “false positives” and minimizing the risk of “false negatives.”</w:t>
      </w:r>
    </w:p>
    <w:p w14:paraId="0BCEA7F1" w14:textId="3807253B" w:rsidR="005A09C6" w:rsidRPr="00C8641A" w:rsidRDefault="005A09C6" w:rsidP="00D95A1B">
      <w:pPr>
        <w:pStyle w:val="ListParagraph"/>
        <w:numPr>
          <w:ilvl w:val="1"/>
          <w:numId w:val="41"/>
        </w:numPr>
        <w:spacing w:before="0" w:after="60" w:line="240" w:lineRule="auto"/>
        <w:ind w:left="1350"/>
        <w:rPr>
          <w:rFonts w:cstheme="minorHAnsi"/>
          <w:szCs w:val="24"/>
        </w:rPr>
      </w:pPr>
      <w:r w:rsidRPr="00B0071C">
        <w:rPr>
          <w:rFonts w:cstheme="minorHAnsi"/>
          <w:b/>
          <w:szCs w:val="24"/>
        </w:rPr>
        <w:t>Screens to Detect Manipulation in Electricity Markets.</w:t>
      </w:r>
      <w:r w:rsidR="004B1822">
        <w:rPr>
          <w:rFonts w:cstheme="minorHAnsi"/>
          <w:szCs w:val="24"/>
        </w:rPr>
        <w:t xml:space="preserve"> </w:t>
      </w:r>
      <w:r w:rsidR="00D86071" w:rsidRPr="00C8641A">
        <w:rPr>
          <w:rFonts w:cstheme="minorHAnsi"/>
          <w:szCs w:val="24"/>
        </w:rPr>
        <w:t>Assist d</w:t>
      </w:r>
      <w:r w:rsidRPr="00C8641A">
        <w:rPr>
          <w:rFonts w:cstheme="minorHAnsi"/>
          <w:szCs w:val="24"/>
        </w:rPr>
        <w:t>esign</w:t>
      </w:r>
      <w:r w:rsidR="00D86071" w:rsidRPr="00C8641A">
        <w:rPr>
          <w:rFonts w:cstheme="minorHAnsi"/>
          <w:szCs w:val="24"/>
        </w:rPr>
        <w:t>ing</w:t>
      </w:r>
      <w:r w:rsidRPr="00C8641A">
        <w:rPr>
          <w:rFonts w:cstheme="minorHAnsi"/>
          <w:szCs w:val="24"/>
        </w:rPr>
        <w:t xml:space="preserve"> screens to assist </w:t>
      </w:r>
      <w:r w:rsidR="00B353D7" w:rsidRPr="00C8641A">
        <w:rPr>
          <w:rFonts w:cstheme="minorHAnsi"/>
          <w:szCs w:val="24"/>
        </w:rPr>
        <w:t>US</w:t>
      </w:r>
      <w:r w:rsidRPr="00C8641A">
        <w:rPr>
          <w:rFonts w:cstheme="minorHAnsi"/>
          <w:szCs w:val="24"/>
        </w:rPr>
        <w:t xml:space="preserve"> and EU clients </w:t>
      </w:r>
      <w:r w:rsidR="00A166E2" w:rsidRPr="00C8641A">
        <w:rPr>
          <w:rFonts w:cstheme="minorHAnsi"/>
          <w:szCs w:val="24"/>
        </w:rPr>
        <w:t>in detecting</w:t>
      </w:r>
      <w:r w:rsidRPr="00C8641A">
        <w:rPr>
          <w:rFonts w:cstheme="minorHAnsi"/>
          <w:szCs w:val="24"/>
        </w:rPr>
        <w:t xml:space="preserve"> a wide variety of behavior relevant to electricity, including the inappropriate withholding of generation to benefit related positions; the uneconomic or fraudulent offer of generation to garner out-of-market payments; use of uneconomic physical or virtual price-making trades to impact the value of price-taking positions; specific types of “gaming” behavior; and other types of trades (such as circular schedules, “sham” schedules or “wash-like” transactions) that could be viewed as manipulative. </w:t>
      </w:r>
    </w:p>
    <w:p w14:paraId="120D74D6" w14:textId="4751774A" w:rsidR="005A09C6" w:rsidRPr="00E21A9C" w:rsidRDefault="005A09C6" w:rsidP="00D95A1B">
      <w:pPr>
        <w:pStyle w:val="ListParagraph"/>
        <w:numPr>
          <w:ilvl w:val="1"/>
          <w:numId w:val="41"/>
        </w:numPr>
        <w:spacing w:before="0" w:after="60" w:line="240" w:lineRule="auto"/>
        <w:ind w:left="1350"/>
        <w:rPr>
          <w:rFonts w:cstheme="minorHAnsi"/>
          <w:szCs w:val="24"/>
        </w:rPr>
      </w:pPr>
      <w:r w:rsidRPr="00E21A9C">
        <w:rPr>
          <w:rFonts w:cstheme="minorHAnsi"/>
          <w:b/>
          <w:szCs w:val="24"/>
        </w:rPr>
        <w:t>Screens to Detect Manipulation in Natural Gas Markets.</w:t>
      </w:r>
      <w:r w:rsidR="004B1822" w:rsidRPr="00E21A9C">
        <w:rPr>
          <w:rFonts w:cstheme="minorHAnsi"/>
          <w:szCs w:val="24"/>
        </w:rPr>
        <w:t xml:space="preserve"> </w:t>
      </w:r>
      <w:r w:rsidR="00917AED" w:rsidRPr="00E21A9C">
        <w:rPr>
          <w:rFonts w:cstheme="minorHAnsi"/>
          <w:szCs w:val="24"/>
        </w:rPr>
        <w:t>A</w:t>
      </w:r>
      <w:r w:rsidRPr="00E21A9C">
        <w:rPr>
          <w:rFonts w:cstheme="minorHAnsi"/>
          <w:szCs w:val="24"/>
        </w:rPr>
        <w:t>ssist develop</w:t>
      </w:r>
      <w:r w:rsidR="00917AED" w:rsidRPr="00E21A9C">
        <w:rPr>
          <w:rFonts w:cstheme="minorHAnsi"/>
          <w:szCs w:val="24"/>
        </w:rPr>
        <w:t>ment of</w:t>
      </w:r>
      <w:r w:rsidRPr="00E21A9C">
        <w:rPr>
          <w:rFonts w:cstheme="minorHAnsi"/>
          <w:szCs w:val="24"/>
        </w:rPr>
        <w:t xml:space="preserve"> screens to detect suspicious trading of physical natural gas or physical basis to influence the value of indices priced from those trades, as well as the trading of futures, monthly</w:t>
      </w:r>
      <w:r w:rsidR="00A166E2" w:rsidRPr="00E21A9C">
        <w:rPr>
          <w:rFonts w:cstheme="minorHAnsi"/>
          <w:szCs w:val="24"/>
        </w:rPr>
        <w:t>,</w:t>
      </w:r>
      <w:r w:rsidRPr="00E21A9C">
        <w:rPr>
          <w:rFonts w:cstheme="minorHAnsi"/>
          <w:szCs w:val="24"/>
        </w:rPr>
        <w:t xml:space="preserve"> or spot gas to influence value of financial </w:t>
      </w:r>
      <w:r w:rsidR="00A13CCA" w:rsidRPr="00E21A9C">
        <w:rPr>
          <w:rFonts w:cstheme="minorHAnsi"/>
          <w:szCs w:val="24"/>
        </w:rPr>
        <w:t xml:space="preserve">and </w:t>
      </w:r>
      <w:r w:rsidRPr="00E21A9C">
        <w:rPr>
          <w:rFonts w:cstheme="minorHAnsi"/>
          <w:szCs w:val="24"/>
        </w:rPr>
        <w:t>physical index positions.</w:t>
      </w:r>
      <w:r w:rsidR="004B1822" w:rsidRPr="00E21A9C">
        <w:rPr>
          <w:rFonts w:cstheme="minorHAnsi"/>
          <w:szCs w:val="24"/>
        </w:rPr>
        <w:t xml:space="preserve"> </w:t>
      </w:r>
      <w:r w:rsidRPr="00E21A9C">
        <w:rPr>
          <w:rFonts w:cstheme="minorHAnsi"/>
          <w:szCs w:val="24"/>
        </w:rPr>
        <w:t>We also create screens designed to find potential cross-market manipulation between natural gas and electric assets, such as through capacity withholding or uneconomic gas sales to advantage generation, tolling agreements or related derivatives such as heat rate swaps</w:t>
      </w:r>
      <w:r w:rsidR="00F82726" w:rsidRPr="00E21A9C">
        <w:rPr>
          <w:rFonts w:cstheme="minorHAnsi"/>
          <w:szCs w:val="24"/>
        </w:rPr>
        <w:t>.</w:t>
      </w:r>
    </w:p>
    <w:p w14:paraId="0BDFF03C" w14:textId="5C3C119A" w:rsidR="00B0071C" w:rsidRDefault="00B0071C" w:rsidP="00B0071C">
      <w:pPr>
        <w:spacing w:after="60" w:line="240" w:lineRule="auto"/>
        <w:jc w:val="both"/>
      </w:pPr>
    </w:p>
    <w:p w14:paraId="3FA26AF2" w14:textId="77777777" w:rsidR="00EB5454" w:rsidRDefault="00EB5454">
      <w:pPr>
        <w:rPr>
          <w:rFonts w:cstheme="minorHAnsi"/>
          <w:b/>
          <w:caps/>
          <w:color w:val="2297AA" w:themeColor="accent2"/>
          <w:spacing w:val="10"/>
          <w:szCs w:val="24"/>
          <w:lang w:val="en-CA" w:eastAsia="en-US"/>
        </w:rPr>
      </w:pPr>
      <w:r>
        <w:rPr>
          <w:lang w:val="en-CA"/>
        </w:rPr>
        <w:br w:type="page"/>
      </w:r>
    </w:p>
    <w:p w14:paraId="077C2162" w14:textId="17F8D224" w:rsidR="0009692B" w:rsidRDefault="00816B9E" w:rsidP="00027E18">
      <w:pPr>
        <w:pStyle w:val="TitleOfficeLocation"/>
        <w:rPr>
          <w:lang w:val="en-CA"/>
        </w:rPr>
      </w:pPr>
      <w:r>
        <w:rPr>
          <w:lang w:val="en-CA"/>
        </w:rPr>
        <w:lastRenderedPageBreak/>
        <w:t>Electricity</w:t>
      </w:r>
      <w:r w:rsidR="00027E18">
        <w:rPr>
          <w:lang w:val="en-CA"/>
        </w:rPr>
        <w:t xml:space="preserve"> Litigation &amp; Regulatory Disputes</w:t>
      </w:r>
    </w:p>
    <w:p w14:paraId="59CCB32A" w14:textId="77777777" w:rsidR="00564B8B" w:rsidRPr="00E21A9C" w:rsidRDefault="00564B8B" w:rsidP="0064046C">
      <w:pPr>
        <w:pStyle w:val="BulletedList"/>
        <w:numPr>
          <w:ilvl w:val="0"/>
          <w:numId w:val="39"/>
        </w:numPr>
        <w:spacing w:after="60"/>
        <w:ind w:left="990" w:right="0"/>
        <w:jc w:val="left"/>
        <w:rPr>
          <w:rFonts w:asciiTheme="minorHAnsi" w:hAnsiTheme="minorHAnsi" w:cstheme="minorHAnsi"/>
          <w:color w:val="auto"/>
          <w:sz w:val="24"/>
          <w:szCs w:val="24"/>
        </w:rPr>
      </w:pPr>
      <w:r w:rsidRPr="00E21A9C">
        <w:rPr>
          <w:rFonts w:asciiTheme="minorHAnsi" w:hAnsiTheme="minorHAnsi" w:cstheme="minorHAnsi"/>
          <w:b/>
          <w:color w:val="auto"/>
          <w:sz w:val="24"/>
          <w:szCs w:val="24"/>
        </w:rPr>
        <w:t>Cost Recovery Associated with Winter Storm Uri.</w:t>
      </w:r>
      <w:r w:rsidRPr="00E21A9C">
        <w:rPr>
          <w:rFonts w:asciiTheme="minorHAnsi" w:hAnsiTheme="minorHAnsi" w:cstheme="minorHAnsi"/>
          <w:color w:val="auto"/>
          <w:sz w:val="24"/>
          <w:szCs w:val="24"/>
        </w:rPr>
        <w:t xml:space="preserve"> Assisting electric cooperative in recovering the costs of its power sold into a RTO while the RTO was operating in Energy Emergency Alert status. Analysis includes an evaluation the data to be submitted to the RTO as cost justification, as well as support for the client and its counsel in subsequent proceedings before the FERC and, if necessary, any subsequent litigation.</w:t>
      </w:r>
    </w:p>
    <w:p w14:paraId="513F63EF" w14:textId="6CBC55AC" w:rsidR="003B352E" w:rsidRPr="00C8641A" w:rsidRDefault="003B352E" w:rsidP="0064046C">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Contractual Breach of Contract to Build a Combined-Cycle Plant.</w:t>
      </w:r>
      <w:r w:rsidRPr="00C8641A">
        <w:rPr>
          <w:rFonts w:asciiTheme="minorHAnsi" w:hAnsiTheme="minorHAnsi" w:cstheme="minorHAnsi"/>
          <w:color w:val="auto"/>
          <w:sz w:val="24"/>
          <w:szCs w:val="24"/>
        </w:rPr>
        <w:t xml:space="preserve"> Supporting testimonies of three expert witnesses on behalf of party seeking damages for the failure to construct a combined-cycle plant. Experts are testifying as to the conformance of related contracts to project financing customs and practice and the damages owed for the contractual breach.</w:t>
      </w:r>
    </w:p>
    <w:p w14:paraId="5643DD5D" w14:textId="6B30FBF9" w:rsidR="0009692B" w:rsidRPr="00C8641A" w:rsidRDefault="00564B8B" w:rsidP="0064046C">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Evaluation of Costs Incurred Due to the February 2021 Winter Weather Event.</w:t>
      </w:r>
      <w:r w:rsidRPr="00C8641A">
        <w:rPr>
          <w:rFonts w:asciiTheme="minorHAnsi" w:hAnsiTheme="minorHAnsi" w:cstheme="minorHAnsi"/>
          <w:color w:val="auto"/>
          <w:sz w:val="24"/>
          <w:szCs w:val="24"/>
        </w:rPr>
        <w:t xml:space="preserve"> Assisted a multi-jurisdictional client in assessing whether its purchased natural gas and power costs incurred during winter storm Uri were prudently incurred given prevailing market conditions and its existing risk management policies. Supported testifying expert who assisted the client in recovering its natural gas costs incurred during the event.</w:t>
      </w:r>
    </w:p>
    <w:p w14:paraId="0A2DA578" w14:textId="744B90CD" w:rsidR="00604EB7" w:rsidRPr="00C8641A" w:rsidRDefault="00817B39" w:rsidP="00604EB7">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Uri-Related Force Majeure Claim</w:t>
      </w:r>
      <w:r w:rsidR="00DF5EA2" w:rsidRPr="00C8641A">
        <w:rPr>
          <w:rFonts w:asciiTheme="minorHAnsi" w:hAnsiTheme="minorHAnsi" w:cstheme="minorHAnsi"/>
          <w:b/>
          <w:color w:val="auto"/>
          <w:sz w:val="24"/>
          <w:szCs w:val="24"/>
        </w:rPr>
        <w:t>s</w:t>
      </w:r>
      <w:r w:rsidR="00604EB7" w:rsidRPr="00C8641A">
        <w:rPr>
          <w:rFonts w:asciiTheme="minorHAnsi" w:hAnsiTheme="minorHAnsi" w:cstheme="minorHAnsi"/>
          <w:b/>
          <w:color w:val="auto"/>
          <w:sz w:val="24"/>
          <w:szCs w:val="24"/>
        </w:rPr>
        <w:t>.</w:t>
      </w:r>
      <w:r w:rsidR="00604EB7" w:rsidRPr="00C8641A">
        <w:rPr>
          <w:rFonts w:asciiTheme="minorHAnsi" w:hAnsiTheme="minorHAnsi" w:cstheme="minorHAnsi"/>
          <w:color w:val="auto"/>
          <w:sz w:val="24"/>
          <w:szCs w:val="24"/>
        </w:rPr>
        <w:t xml:space="preserve"> Direct testimon</w:t>
      </w:r>
      <w:r w:rsidR="00E96A78" w:rsidRPr="00C8641A">
        <w:rPr>
          <w:rFonts w:asciiTheme="minorHAnsi" w:hAnsiTheme="minorHAnsi" w:cstheme="minorHAnsi"/>
          <w:color w:val="auto"/>
          <w:sz w:val="24"/>
          <w:szCs w:val="24"/>
        </w:rPr>
        <w:t>ies</w:t>
      </w:r>
      <w:r w:rsidR="00604EB7" w:rsidRPr="00C8641A">
        <w:rPr>
          <w:rFonts w:asciiTheme="minorHAnsi" w:hAnsiTheme="minorHAnsi" w:cstheme="minorHAnsi"/>
          <w:color w:val="auto"/>
          <w:sz w:val="24"/>
          <w:szCs w:val="24"/>
        </w:rPr>
        <w:t xml:space="preserve"> filed on behalf of Citigroup in litigation brought in New York and Texas involving the failure of several wind farms to deliver Firm (LD) Energy at several ERCOT hubs during the February 2021 winter weather event. Analyses performed confirm that replacement power was available at the ERCOT hubs throughout the event and that Citigroup is owed its costs incurred to purchase replacement power to cover the wind farms’ deficiencies in production under the contracts’ terms. </w:t>
      </w:r>
      <w:r w:rsidR="005E1F60" w:rsidRPr="00C8641A">
        <w:rPr>
          <w:rFonts w:asciiTheme="minorHAnsi" w:hAnsiTheme="minorHAnsi" w:cstheme="minorHAnsi"/>
          <w:color w:val="auto"/>
          <w:sz w:val="24"/>
          <w:szCs w:val="24"/>
        </w:rPr>
        <w:t xml:space="preserve">Deposition testimony provided on 5/20/21.  Live </w:t>
      </w:r>
      <w:r w:rsidR="00707021" w:rsidRPr="00C8641A">
        <w:rPr>
          <w:rFonts w:asciiTheme="minorHAnsi" w:hAnsiTheme="minorHAnsi" w:cstheme="minorHAnsi"/>
          <w:color w:val="auto"/>
          <w:sz w:val="24"/>
          <w:szCs w:val="24"/>
        </w:rPr>
        <w:t xml:space="preserve">direct and cross-examination </w:t>
      </w:r>
      <w:r w:rsidR="005E1F60" w:rsidRPr="00C8641A">
        <w:rPr>
          <w:rFonts w:asciiTheme="minorHAnsi" w:hAnsiTheme="minorHAnsi" w:cstheme="minorHAnsi"/>
          <w:color w:val="auto"/>
          <w:sz w:val="24"/>
          <w:szCs w:val="24"/>
        </w:rPr>
        <w:t xml:space="preserve">testimony given </w:t>
      </w:r>
      <w:r w:rsidR="00707021" w:rsidRPr="00C8641A">
        <w:rPr>
          <w:rFonts w:asciiTheme="minorHAnsi" w:hAnsiTheme="minorHAnsi" w:cstheme="minorHAnsi"/>
          <w:color w:val="auto"/>
          <w:sz w:val="24"/>
          <w:szCs w:val="24"/>
        </w:rPr>
        <w:t xml:space="preserve">on </w:t>
      </w:r>
      <w:r w:rsidR="00190A92" w:rsidRPr="00C8641A">
        <w:rPr>
          <w:rFonts w:asciiTheme="minorHAnsi" w:hAnsiTheme="minorHAnsi" w:cstheme="minorHAnsi"/>
          <w:color w:val="auto"/>
          <w:sz w:val="24"/>
          <w:szCs w:val="24"/>
        </w:rPr>
        <w:t>6/2/21.</w:t>
      </w:r>
    </w:p>
    <w:p w14:paraId="0A9CCC88" w14:textId="74315216" w:rsidR="001606FA" w:rsidRPr="00C8641A" w:rsidRDefault="00604EB7" w:rsidP="00604EB7">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Force Majeure Claim Arbitration.</w:t>
      </w:r>
      <w:r w:rsidRPr="00C8641A">
        <w:rPr>
          <w:rFonts w:asciiTheme="minorHAnsi" w:hAnsiTheme="minorHAnsi" w:cstheme="minorHAnsi"/>
          <w:color w:val="auto"/>
          <w:sz w:val="24"/>
          <w:szCs w:val="24"/>
        </w:rPr>
        <w:t xml:space="preserve"> Direct and rebuttal reports filed on behalf of client claiming force majeure given the declining economics of coal-fueled electric generation. Claim tied to the inability to produce a by-product given economic curtailments of the plants.</w:t>
      </w:r>
    </w:p>
    <w:p w14:paraId="70199095" w14:textId="77777777" w:rsidR="00190A92" w:rsidRPr="00C8641A" w:rsidRDefault="00190A92" w:rsidP="00190A92">
      <w:pPr>
        <w:pStyle w:val="BulletedList"/>
        <w:numPr>
          <w:ilvl w:val="0"/>
          <w:numId w:val="39"/>
        </w:numPr>
        <w:spacing w:after="60"/>
        <w:ind w:left="990" w:right="0"/>
        <w:jc w:val="left"/>
        <w:rPr>
          <w:rFonts w:ascii="Calibri" w:hAnsi="Calibri" w:cs="Calibri"/>
          <w:color w:val="auto"/>
          <w:sz w:val="24"/>
          <w:szCs w:val="24"/>
        </w:rPr>
      </w:pPr>
      <w:r w:rsidRPr="00C8641A">
        <w:rPr>
          <w:rFonts w:ascii="Calibri" w:hAnsi="Calibri" w:cs="Calibri"/>
          <w:b/>
          <w:color w:val="auto"/>
          <w:sz w:val="24"/>
          <w:szCs w:val="24"/>
        </w:rPr>
        <w:t>PJM FTR Netting Rule.</w:t>
      </w:r>
      <w:r w:rsidRPr="00C8641A">
        <w:rPr>
          <w:rFonts w:ascii="Calibri" w:hAnsi="Calibri" w:cs="Calibri"/>
          <w:color w:val="auto"/>
          <w:sz w:val="24"/>
          <w:szCs w:val="24"/>
        </w:rPr>
        <w:t xml:space="preserve"> Assisted client challenging effort by PJM to declare rule allowing the netting of counterflow and prevailing flow FTRs given underfunding unjust and unreasonable and replace it with a rule precluding netting and requiring counterflow holders to repay PJM for the entire target allocation of their counterflow portfolios. Affidavit pointed out an erroneous assumption made by PJM that FTR auction prices are based on the market’s expectations of full funding.</w:t>
      </w:r>
    </w:p>
    <w:p w14:paraId="1FCCA528" w14:textId="77777777" w:rsidR="00190A92" w:rsidRPr="00C8641A" w:rsidRDefault="00190A92" w:rsidP="00190A92">
      <w:pPr>
        <w:pStyle w:val="BGBulletedList"/>
        <w:numPr>
          <w:ilvl w:val="0"/>
          <w:numId w:val="39"/>
        </w:numPr>
        <w:ind w:left="990"/>
        <w:jc w:val="left"/>
        <w:rPr>
          <w:rFonts w:ascii="Calibri" w:hAnsi="Calibri" w:cs="Calibri"/>
          <w:color w:val="auto"/>
          <w:sz w:val="24"/>
        </w:rPr>
      </w:pPr>
      <w:r w:rsidRPr="00C8641A">
        <w:rPr>
          <w:rFonts w:ascii="Calibri" w:hAnsi="Calibri" w:cs="Calibri"/>
          <w:b/>
          <w:color w:val="auto"/>
          <w:sz w:val="24"/>
        </w:rPr>
        <w:t>PJM FTR Forfeiture Rule.</w:t>
      </w:r>
      <w:r w:rsidRPr="00C8641A">
        <w:rPr>
          <w:rFonts w:ascii="Calibri" w:hAnsi="Calibri" w:cs="Calibri"/>
          <w:color w:val="auto"/>
          <w:sz w:val="24"/>
        </w:rPr>
        <w:t xml:space="preserve"> Assisted client in challenging effort to expand the PJM Forfeiture Rule to other contexts. Affidavit focused on the inefficiencies presented by the existing rule and its lack of relevance given the active market monitoring performed by the Independent Market Monitor as a backstop to the rule.</w:t>
      </w:r>
    </w:p>
    <w:p w14:paraId="41E5EFC4" w14:textId="77777777" w:rsidR="00EB5454" w:rsidRDefault="00EB5454">
      <w:pPr>
        <w:rPr>
          <w:rFonts w:ascii="Calibri" w:eastAsia="Times New Roman" w:hAnsi="Calibri" w:cs="Calibri"/>
          <w:b/>
          <w:color w:val="302F35"/>
          <w:szCs w:val="21"/>
          <w:lang w:eastAsia="en-US"/>
        </w:rPr>
      </w:pPr>
      <w:r>
        <w:rPr>
          <w:rFonts w:ascii="Calibri" w:hAnsi="Calibri" w:cs="Calibri"/>
          <w:b/>
        </w:rPr>
        <w:br w:type="page"/>
      </w:r>
    </w:p>
    <w:p w14:paraId="73EDD9E3" w14:textId="250EBFEF" w:rsidR="001606FA" w:rsidRPr="005D23AC" w:rsidRDefault="00190A92" w:rsidP="00190A92">
      <w:pPr>
        <w:pStyle w:val="BulletedList"/>
        <w:numPr>
          <w:ilvl w:val="0"/>
          <w:numId w:val="39"/>
        </w:numPr>
        <w:spacing w:after="60"/>
        <w:ind w:left="990" w:right="0"/>
        <w:jc w:val="left"/>
        <w:rPr>
          <w:rFonts w:ascii="Calibri" w:hAnsi="Calibri" w:cs="Calibri"/>
          <w:color w:val="auto"/>
          <w:sz w:val="24"/>
          <w:szCs w:val="24"/>
        </w:rPr>
      </w:pPr>
      <w:r w:rsidRPr="005D23AC">
        <w:rPr>
          <w:rFonts w:ascii="Calibri" w:hAnsi="Calibri" w:cs="Calibri"/>
          <w:b/>
          <w:color w:val="auto"/>
          <w:sz w:val="24"/>
        </w:rPr>
        <w:lastRenderedPageBreak/>
        <w:t>Energy and Ancillary Services (E&amp;AS) Offset.</w:t>
      </w:r>
      <w:r w:rsidRPr="005D23AC">
        <w:rPr>
          <w:rFonts w:ascii="Calibri" w:hAnsi="Calibri" w:cs="Calibri"/>
          <w:color w:val="auto"/>
          <w:sz w:val="24"/>
        </w:rPr>
        <w:t xml:space="preserve"> Assisted client challenging </w:t>
      </w:r>
      <w:r w:rsidR="00ED3E86" w:rsidRPr="005D23AC">
        <w:rPr>
          <w:rFonts w:ascii="Calibri" w:hAnsi="Calibri" w:cs="Calibri"/>
          <w:color w:val="auto"/>
          <w:sz w:val="24"/>
        </w:rPr>
        <w:t>IMM</w:t>
      </w:r>
      <w:r w:rsidRPr="005D23AC">
        <w:rPr>
          <w:rFonts w:ascii="Calibri" w:hAnsi="Calibri" w:cs="Calibri"/>
          <w:color w:val="auto"/>
          <w:sz w:val="24"/>
        </w:rPr>
        <w:t xml:space="preserve"> decision to calculate the E&amp;AS offset (used to mitigate bids in the PJM capacity market) using the lesser of bid cost and unit cost. Method penalized generation resources that would bid into the market below cost in off-peak hours to prevent cycling.</w:t>
      </w:r>
    </w:p>
    <w:p w14:paraId="59EA27FD" w14:textId="14E554F9" w:rsidR="008B4329" w:rsidRPr="005D23AC" w:rsidRDefault="008B4329" w:rsidP="0064046C">
      <w:pPr>
        <w:pStyle w:val="BulletedList"/>
        <w:numPr>
          <w:ilvl w:val="0"/>
          <w:numId w:val="39"/>
        </w:numPr>
        <w:spacing w:after="60"/>
        <w:ind w:left="990" w:right="0"/>
        <w:jc w:val="left"/>
        <w:rPr>
          <w:rFonts w:ascii="Calibri" w:hAnsi="Calibri" w:cs="Calibri"/>
          <w:color w:val="auto"/>
          <w:sz w:val="24"/>
          <w:szCs w:val="24"/>
        </w:rPr>
      </w:pPr>
      <w:r w:rsidRPr="005D23AC">
        <w:rPr>
          <w:rFonts w:ascii="Calibri" w:hAnsi="Calibri" w:cs="Calibri"/>
          <w:b/>
          <w:color w:val="auto"/>
          <w:sz w:val="24"/>
          <w:szCs w:val="24"/>
        </w:rPr>
        <w:t xml:space="preserve">Analysis of Mitigation of Buyer-Side Capacity Market Bids. </w:t>
      </w:r>
      <w:r w:rsidRPr="005D23AC">
        <w:rPr>
          <w:rFonts w:ascii="Calibri" w:hAnsi="Calibri" w:cs="Calibri"/>
          <w:color w:val="auto"/>
          <w:sz w:val="24"/>
          <w:szCs w:val="24"/>
        </w:rPr>
        <w:t>Assisted expert in reviewing NYISO method</w:t>
      </w:r>
      <w:r w:rsidR="00ED3E86" w:rsidRPr="005D23AC">
        <w:rPr>
          <w:rFonts w:ascii="Calibri" w:hAnsi="Calibri" w:cs="Calibri"/>
          <w:color w:val="auto"/>
          <w:sz w:val="24"/>
          <w:szCs w:val="24"/>
        </w:rPr>
        <w:t>s</w:t>
      </w:r>
      <w:r w:rsidRPr="005D23AC">
        <w:rPr>
          <w:rFonts w:ascii="Calibri" w:hAnsi="Calibri" w:cs="Calibri"/>
          <w:color w:val="auto"/>
          <w:sz w:val="24"/>
          <w:szCs w:val="24"/>
        </w:rPr>
        <w:t xml:space="preserve"> used to implement its buyer-side Mitigation Exemption Test. Assisted the development of affidavit supporting the resulting findings.</w:t>
      </w:r>
    </w:p>
    <w:p w14:paraId="00440EFB" w14:textId="04CBA16D" w:rsidR="004F57F5" w:rsidRPr="005D23AC" w:rsidRDefault="004F57F5"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Texas Electric Cooperatives (TEC) Intervention into ERCOT Transition to Competitive Markets.</w:t>
      </w:r>
      <w:r w:rsidRPr="005D23AC">
        <w:rPr>
          <w:rFonts w:asciiTheme="minorHAnsi" w:hAnsiTheme="minorHAnsi" w:cstheme="minorHAnsi"/>
          <w:color w:val="auto"/>
          <w:sz w:val="24"/>
          <w:szCs w:val="24"/>
        </w:rPr>
        <w:t xml:space="preserve"> Submitted filings in support of TEC’s positions concerning the potential for marke</w:t>
      </w:r>
      <w:r w:rsidR="00066BAF" w:rsidRPr="005D23AC">
        <w:rPr>
          <w:rFonts w:asciiTheme="minorHAnsi" w:hAnsiTheme="minorHAnsi" w:cstheme="minorHAnsi"/>
          <w:color w:val="auto"/>
          <w:sz w:val="24"/>
          <w:szCs w:val="24"/>
        </w:rPr>
        <w:t>t abuse within ERCOT given the</w:t>
      </w:r>
      <w:r w:rsidRPr="005D23AC">
        <w:rPr>
          <w:rFonts w:asciiTheme="minorHAnsi" w:hAnsiTheme="minorHAnsi" w:cstheme="minorHAnsi"/>
          <w:color w:val="auto"/>
          <w:sz w:val="24"/>
          <w:szCs w:val="24"/>
        </w:rPr>
        <w:t xml:space="preserve"> transition to a competitive imbalance energy market using locational marginal pricing. Commented upon projected market outcomes resulting from proposed rules by the Texas Public Utility Commission and critiqued comments made by other market stakeholders engaged in the proceedings.</w:t>
      </w:r>
    </w:p>
    <w:p w14:paraId="4DFF56ED" w14:textId="21788A70" w:rsidR="004F57F5" w:rsidRPr="005D23AC" w:rsidRDefault="004F57F5"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 xml:space="preserve">Intervention Regarding the Application of Southwestern Public Service for Cost-Based Rates. </w:t>
      </w:r>
      <w:r w:rsidR="00991177" w:rsidRPr="005D23AC">
        <w:rPr>
          <w:rFonts w:asciiTheme="minorHAnsi" w:hAnsiTheme="minorHAnsi" w:cstheme="minorHAnsi"/>
          <w:color w:val="auto"/>
          <w:sz w:val="24"/>
          <w:szCs w:val="24"/>
        </w:rPr>
        <w:t>M</w:t>
      </w:r>
      <w:r w:rsidRPr="005D23AC">
        <w:rPr>
          <w:rFonts w:asciiTheme="minorHAnsi" w:hAnsiTheme="minorHAnsi" w:cstheme="minorHAnsi"/>
          <w:color w:val="auto"/>
          <w:sz w:val="24"/>
          <w:szCs w:val="24"/>
        </w:rPr>
        <w:t xml:space="preserve">arket concentration analysis using HHIs to establish the existence of high market concentration within the Southwestern Public Service control area. </w:t>
      </w:r>
      <w:r w:rsidR="00991177" w:rsidRPr="005D23AC">
        <w:rPr>
          <w:rFonts w:asciiTheme="minorHAnsi" w:hAnsiTheme="minorHAnsi" w:cstheme="minorHAnsi"/>
          <w:color w:val="auto"/>
          <w:sz w:val="24"/>
          <w:szCs w:val="24"/>
        </w:rPr>
        <w:t>S</w:t>
      </w:r>
      <w:r w:rsidRPr="005D23AC">
        <w:rPr>
          <w:rFonts w:asciiTheme="minorHAnsi" w:hAnsiTheme="minorHAnsi" w:cstheme="minorHAnsi"/>
          <w:color w:val="auto"/>
          <w:sz w:val="24"/>
          <w:szCs w:val="24"/>
        </w:rPr>
        <w:t>upported and contributed filings before the FERC indicating that said market concentrations were significantly higher than those within the zonal regions of ERCOT, wherein competition had commenced. Performed additional analysis using the Supply Margin Assessment methodologies prescribed by the FERC.</w:t>
      </w:r>
    </w:p>
    <w:p w14:paraId="28639F4A" w14:textId="25608F4E" w:rsidR="00066BAF" w:rsidRPr="005D23AC" w:rsidRDefault="00066BAF"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Investigation of the Rates and Charges for Electric Service Provided by NIPSCO.</w:t>
      </w:r>
      <w:r w:rsidRPr="005D23AC">
        <w:rPr>
          <w:rFonts w:asciiTheme="minorHAnsi" w:hAnsiTheme="minorHAnsi" w:cstheme="minorHAnsi"/>
          <w:color w:val="auto"/>
          <w:sz w:val="24"/>
          <w:szCs w:val="24"/>
        </w:rPr>
        <w:t xml:space="preserve"> This was the first “inverse rate case” performed in the history of Indiana. It was designed to challenge the existing rates of Northern Indiana Public Service Company (Cause No. 41746, Indiana Utility Regulatory Commission). In direct testimony, used a market-based valuation of the company’s generation, transmission, and distribution assets to challenge valuations asserted by the Company’s economic experts. In rebuttal, directly critiqued the company’s expert’s analyses based upon replacement and reproduction costs.</w:t>
      </w:r>
    </w:p>
    <w:p w14:paraId="57B68E3A" w14:textId="626DEADE" w:rsidR="004F57F5" w:rsidRPr="005D23AC" w:rsidRDefault="004F57F5"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Support of Expert Testimony Involving Merger.</w:t>
      </w:r>
      <w:r w:rsidRPr="005D23AC">
        <w:rPr>
          <w:rFonts w:asciiTheme="minorHAnsi" w:hAnsiTheme="minorHAnsi" w:cstheme="minorHAnsi"/>
          <w:color w:val="auto"/>
          <w:sz w:val="24"/>
          <w:szCs w:val="24"/>
        </w:rPr>
        <w:t xml:space="preserve"> Provided support for expert testimony regarding a proposed merger of two</w:t>
      </w:r>
      <w:r w:rsidR="00921B67" w:rsidRPr="005D23AC">
        <w:rPr>
          <w:rFonts w:asciiTheme="minorHAnsi" w:hAnsiTheme="minorHAnsi" w:cstheme="minorHAnsi"/>
          <w:color w:val="auto"/>
          <w:sz w:val="24"/>
          <w:szCs w:val="24"/>
        </w:rPr>
        <w:t xml:space="preserve"> electric</w:t>
      </w:r>
      <w:r w:rsidRPr="005D23AC">
        <w:rPr>
          <w:rFonts w:asciiTheme="minorHAnsi" w:hAnsiTheme="minorHAnsi" w:cstheme="minorHAnsi"/>
          <w:color w:val="auto"/>
          <w:sz w:val="24"/>
          <w:szCs w:val="24"/>
        </w:rPr>
        <w:t xml:space="preserve"> utilities. Evaluated the merger applicants’ expert testimonies concerning the efficiencies to be derived from the merger. Assisted the development of testimony evaluating these efficiencies. </w:t>
      </w:r>
    </w:p>
    <w:p w14:paraId="509BD00E" w14:textId="3DFCF552" w:rsidR="004F57F5" w:rsidRPr="005D23AC" w:rsidRDefault="004F57F5"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Intervention into FERC Conference on Supply Margin Assessment.</w:t>
      </w:r>
      <w:r w:rsidR="007E1945" w:rsidRPr="005D23AC">
        <w:rPr>
          <w:rFonts w:asciiTheme="minorHAnsi" w:hAnsiTheme="minorHAnsi" w:cstheme="minorHAnsi"/>
          <w:color w:val="auto"/>
          <w:sz w:val="24"/>
          <w:szCs w:val="24"/>
        </w:rPr>
        <w:t xml:space="preserve"> Assisted expert </w:t>
      </w:r>
      <w:r w:rsidRPr="005D23AC">
        <w:rPr>
          <w:rFonts w:asciiTheme="minorHAnsi" w:hAnsiTheme="minorHAnsi" w:cstheme="minorHAnsi"/>
          <w:color w:val="auto"/>
          <w:sz w:val="24"/>
          <w:szCs w:val="24"/>
        </w:rPr>
        <w:t>comments concerning the applicability of the Supply Margin Assessment proposed by the FERC in replacement of the “hub and spoke” Delivered Price Test based upon the 1992 US Department of Justice Merger Guidelines. This analysis focused on how utilities with high market shares operating in highly concentrated markets could pass the proposed Supply Margin Assessment and thereby avoid mitigation.</w:t>
      </w:r>
    </w:p>
    <w:p w14:paraId="2F5D685A" w14:textId="7B5C519A" w:rsidR="0009692B" w:rsidRPr="005D23AC" w:rsidRDefault="004F57F5" w:rsidP="0064046C">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Intervention into the Application of Southwestern Public Service for Cost-Based Rates</w:t>
      </w:r>
      <w:r w:rsidRPr="005D23AC">
        <w:rPr>
          <w:rFonts w:asciiTheme="minorHAnsi" w:hAnsiTheme="minorHAnsi" w:cstheme="minorHAnsi"/>
          <w:color w:val="auto"/>
          <w:sz w:val="24"/>
          <w:szCs w:val="24"/>
        </w:rPr>
        <w:t>. Assisted analysis of market concentration in the SPS control area using HHIs. Supported filings before the FERC comparing market concentrations in the region to those within the congestion zones within ERCOT to demonstrate market power.</w:t>
      </w:r>
    </w:p>
    <w:p w14:paraId="34254EC5" w14:textId="0709911B" w:rsidR="0009692B" w:rsidRPr="005D23AC" w:rsidRDefault="00AE54FE" w:rsidP="00153A67">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lastRenderedPageBreak/>
        <w:t>Estimation of Future Stranded Costs in Texas.</w:t>
      </w:r>
      <w:r w:rsidRPr="005D23AC">
        <w:rPr>
          <w:rFonts w:asciiTheme="minorHAnsi" w:hAnsiTheme="minorHAnsi" w:cstheme="minorHAnsi"/>
          <w:color w:val="auto"/>
          <w:sz w:val="24"/>
          <w:szCs w:val="24"/>
        </w:rPr>
        <w:t xml:space="preserve"> Analyzed financial data and comparable asset sales to determine the amount of stranded costs that would be incurred by generators in Texas upon the commencement of competition. This report was submitted to the Texas Legislature and recommended total estimated costs that were ultimately used as the basis for exit charges applied for affected utilities.</w:t>
      </w:r>
    </w:p>
    <w:p w14:paraId="4464D5F1" w14:textId="77777777" w:rsidR="007F36AC" w:rsidRDefault="007F36AC" w:rsidP="006B1979">
      <w:pPr>
        <w:pStyle w:val="TitleOfficeLocation"/>
      </w:pPr>
    </w:p>
    <w:p w14:paraId="5DED295B" w14:textId="4DC5687F" w:rsidR="007F36AC" w:rsidRDefault="008225DD" w:rsidP="006B1979">
      <w:pPr>
        <w:pStyle w:val="TitleOfficeLocation"/>
      </w:pPr>
      <w:r w:rsidRPr="00634B5F">
        <w:rPr>
          <w:lang w:val="en-CA"/>
        </w:rPr>
        <w:t>Electricity Wholesale Markets &amp; Planning</w:t>
      </w:r>
    </w:p>
    <w:p w14:paraId="3A41CDCE" w14:textId="2445A710" w:rsidR="00276F0B" w:rsidRPr="005D23AC" w:rsidRDefault="00276F0B" w:rsidP="006C0CC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Calibri" w:eastAsia="Calibri" w:hAnsi="Calibri" w:cs="Calibri"/>
          <w:b/>
          <w:bCs/>
          <w:color w:val="auto"/>
          <w:sz w:val="24"/>
          <w:szCs w:val="24"/>
        </w:rPr>
        <w:t>Assistance to IESO Concerning its TRCA Review.</w:t>
      </w:r>
      <w:r w:rsidRPr="005D23AC">
        <w:rPr>
          <w:rFonts w:ascii="Calibri" w:eastAsia="Calibri" w:hAnsi="Calibri" w:cs="Calibri"/>
          <w:color w:val="auto"/>
          <w:sz w:val="24"/>
          <w:szCs w:val="24"/>
        </w:rPr>
        <w:t xml:space="preserve"> Prepared report for the IESO </w:t>
      </w:r>
      <w:r w:rsidR="002A215E" w:rsidRPr="005D23AC">
        <w:rPr>
          <w:rFonts w:ascii="Calibri" w:eastAsia="Calibri" w:hAnsi="Calibri" w:cs="Calibri"/>
          <w:color w:val="auto"/>
          <w:sz w:val="24"/>
          <w:szCs w:val="24"/>
        </w:rPr>
        <w:t>as to</w:t>
      </w:r>
      <w:r w:rsidRPr="005D23AC">
        <w:rPr>
          <w:rFonts w:ascii="Calibri" w:eastAsia="Calibri" w:hAnsi="Calibri" w:cs="Calibri"/>
          <w:color w:val="auto"/>
          <w:sz w:val="24"/>
          <w:szCs w:val="24"/>
        </w:rPr>
        <w:t xml:space="preserve"> the disbursement of its Transmission Rights Clearing Account (TRCA). The report examined factors relevant to the equitable and efficient disbursement of these funds to Ontario market participants, particularly exporters and native load. Several follow-on analyses focused upon related issues, including the use of financial transmission rights in the California ISO, the impact of import/export ramping limits on TR markets, and analysis of electricity hedging in the EU’s electricity markets.</w:t>
      </w:r>
    </w:p>
    <w:p w14:paraId="5FBDA5DE" w14:textId="75E3308A" w:rsidR="00B26472" w:rsidRPr="005D23AC" w:rsidRDefault="00B26472" w:rsidP="006C0CCB">
      <w:pPr>
        <w:pStyle w:val="BulletedList"/>
        <w:numPr>
          <w:ilvl w:val="0"/>
          <w:numId w:val="39"/>
        </w:numPr>
        <w:spacing w:after="60"/>
        <w:ind w:left="990" w:right="0"/>
        <w:jc w:val="left"/>
        <w:rPr>
          <w:rFonts w:ascii="Calibri" w:hAnsi="Calibri" w:cs="Calibri"/>
          <w:color w:val="auto"/>
          <w:sz w:val="24"/>
          <w:szCs w:val="24"/>
        </w:rPr>
      </w:pPr>
      <w:r w:rsidRPr="005D23AC">
        <w:rPr>
          <w:rFonts w:ascii="Calibri" w:eastAsia="Calibri" w:hAnsi="Calibri" w:cs="Calibri"/>
          <w:b/>
          <w:bCs/>
          <w:color w:val="auto"/>
          <w:sz w:val="24"/>
          <w:szCs w:val="24"/>
        </w:rPr>
        <w:t>Assistance with Design of Japanese Capacity Market.</w:t>
      </w:r>
      <w:r w:rsidRPr="005D23AC">
        <w:rPr>
          <w:rFonts w:ascii="Calibri" w:hAnsi="Calibri" w:cs="Calibri"/>
          <w:color w:val="auto"/>
          <w:sz w:val="24"/>
          <w:szCs w:val="24"/>
        </w:rPr>
        <w:t xml:space="preserve"> </w:t>
      </w:r>
      <w:r w:rsidR="00683B76" w:rsidRPr="005D23AC">
        <w:rPr>
          <w:rFonts w:ascii="Calibri" w:hAnsi="Calibri" w:cs="Calibri"/>
          <w:color w:val="auto"/>
          <w:sz w:val="24"/>
          <w:szCs w:val="24"/>
        </w:rPr>
        <w:t>Assisted</w:t>
      </w:r>
      <w:r w:rsidRPr="005D23AC">
        <w:rPr>
          <w:rFonts w:ascii="Calibri" w:hAnsi="Calibri" w:cs="Calibri"/>
          <w:color w:val="auto"/>
          <w:sz w:val="24"/>
          <w:szCs w:val="24"/>
        </w:rPr>
        <w:t xml:space="preserve"> the Organization for Cross-regional Coordination of Transmission in evaluation of market design alternatives for its future capacity markets. </w:t>
      </w:r>
      <w:r w:rsidR="00C463AE" w:rsidRPr="005D23AC">
        <w:rPr>
          <w:rFonts w:ascii="Calibri" w:hAnsi="Calibri" w:cs="Calibri"/>
          <w:color w:val="auto"/>
          <w:sz w:val="24"/>
          <w:szCs w:val="24"/>
        </w:rPr>
        <w:t>R</w:t>
      </w:r>
      <w:r w:rsidR="00683B76" w:rsidRPr="005D23AC">
        <w:rPr>
          <w:rFonts w:ascii="Calibri" w:hAnsi="Calibri" w:cs="Calibri"/>
          <w:color w:val="auto"/>
          <w:sz w:val="24"/>
          <w:szCs w:val="24"/>
        </w:rPr>
        <w:t>eport focused</w:t>
      </w:r>
      <w:r w:rsidRPr="005D23AC">
        <w:rPr>
          <w:rFonts w:ascii="Calibri" w:hAnsi="Calibri" w:cs="Calibri"/>
          <w:color w:val="auto"/>
          <w:sz w:val="24"/>
          <w:szCs w:val="24"/>
        </w:rPr>
        <w:t xml:space="preserve"> on reducing or eliminating the potential for market manipulation or gaming of market rules through the adoption of various mitigation measures, which could be deployed on either an </w:t>
      </w:r>
      <w:r w:rsidRPr="005D23AC">
        <w:rPr>
          <w:rFonts w:ascii="Calibri" w:hAnsi="Calibri" w:cs="Calibri"/>
          <w:i/>
          <w:color w:val="auto"/>
          <w:sz w:val="24"/>
          <w:szCs w:val="24"/>
        </w:rPr>
        <w:t>ex ante</w:t>
      </w:r>
      <w:r w:rsidRPr="005D23AC">
        <w:rPr>
          <w:rFonts w:ascii="Calibri" w:hAnsi="Calibri" w:cs="Calibri"/>
          <w:color w:val="auto"/>
          <w:sz w:val="24"/>
          <w:szCs w:val="24"/>
        </w:rPr>
        <w:t xml:space="preserve"> or </w:t>
      </w:r>
      <w:r w:rsidRPr="005D23AC">
        <w:rPr>
          <w:rFonts w:ascii="Calibri" w:hAnsi="Calibri" w:cs="Calibri"/>
          <w:i/>
          <w:color w:val="auto"/>
          <w:sz w:val="24"/>
          <w:szCs w:val="24"/>
        </w:rPr>
        <w:t>ex post</w:t>
      </w:r>
      <w:r w:rsidRPr="005D23AC">
        <w:rPr>
          <w:rFonts w:ascii="Calibri" w:hAnsi="Calibri" w:cs="Calibri"/>
          <w:color w:val="auto"/>
          <w:sz w:val="24"/>
          <w:szCs w:val="24"/>
        </w:rPr>
        <w:t xml:space="preserve"> basis.</w:t>
      </w:r>
    </w:p>
    <w:p w14:paraId="0D8861C8" w14:textId="7C412DBD" w:rsidR="006B1979" w:rsidRPr="005D23AC" w:rsidRDefault="006B1979" w:rsidP="006C0CC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 xml:space="preserve">Analysis of Proposed Construction of Combined-Cycle Plant. </w:t>
      </w:r>
      <w:r w:rsidRPr="005D23AC">
        <w:rPr>
          <w:rFonts w:asciiTheme="minorHAnsi" w:hAnsiTheme="minorHAnsi" w:cstheme="minorHAnsi"/>
          <w:color w:val="auto"/>
          <w:sz w:val="24"/>
          <w:szCs w:val="24"/>
        </w:rPr>
        <w:t>Assisted client analysis in support of determining the cost of new entry associated with a proposed power plant to be located in the eastern US</w:t>
      </w:r>
      <w:r w:rsidR="00202D30" w:rsidRPr="005D23AC">
        <w:rPr>
          <w:rFonts w:asciiTheme="minorHAnsi" w:hAnsiTheme="minorHAnsi" w:cstheme="minorHAnsi"/>
          <w:color w:val="auto"/>
          <w:sz w:val="24"/>
          <w:szCs w:val="24"/>
        </w:rPr>
        <w:t>.</w:t>
      </w:r>
      <w:r w:rsidRPr="005D23AC">
        <w:rPr>
          <w:rFonts w:asciiTheme="minorHAnsi" w:hAnsiTheme="minorHAnsi" w:cstheme="minorHAnsi"/>
          <w:color w:val="auto"/>
          <w:sz w:val="24"/>
          <w:szCs w:val="24"/>
        </w:rPr>
        <w:t xml:space="preserve"> Analysis included consideration of market rules, legislation, and the historic filings of various market participants with respect to the minimum offer price rule of PJM and other rules used in eastern capacity markets.</w:t>
      </w:r>
    </w:p>
    <w:p w14:paraId="27D81FA5" w14:textId="77777777" w:rsidR="00543B6B" w:rsidRPr="005D23AC" w:rsidRDefault="00543B6B" w:rsidP="00543B6B">
      <w:pPr>
        <w:pStyle w:val="BGBulletedList"/>
        <w:numPr>
          <w:ilvl w:val="0"/>
          <w:numId w:val="39"/>
        </w:numPr>
        <w:ind w:left="990"/>
        <w:jc w:val="left"/>
        <w:rPr>
          <w:rFonts w:ascii="Calibri" w:hAnsi="Calibri" w:cs="Calibri"/>
          <w:color w:val="auto"/>
          <w:sz w:val="24"/>
        </w:rPr>
      </w:pPr>
      <w:r w:rsidRPr="005D23AC">
        <w:rPr>
          <w:rFonts w:ascii="Calibri" w:hAnsi="Calibri" w:cs="Calibri"/>
          <w:b/>
          <w:color w:val="auto"/>
          <w:sz w:val="24"/>
        </w:rPr>
        <w:t xml:space="preserve">Analyses Regarding the Federal Regulation of Carbon Emissions. </w:t>
      </w:r>
      <w:r w:rsidRPr="005D23AC">
        <w:rPr>
          <w:rFonts w:ascii="Calibri" w:hAnsi="Calibri" w:cs="Calibri"/>
          <w:color w:val="auto"/>
          <w:sz w:val="24"/>
        </w:rPr>
        <w:t>Staff from seven offices joined to estimate the resources required of the FERC should it be tasked with oversight of the cash and derivatives markets for carbon emissions as envisioned by the Dingell-Boucher Cap-and-Trade bill. Assessed the resource requirements of the enforcement provisions of the bill, requiring close coordination with the four Division Directors of the Office of Enforcement and their staffs. This effort was followed by analysis of the Waxman-Markey bill; however, the reduced Commission role (with oversight duties limited to the cash market) shifted focus to likely problems should the bill pass, such as frictions that could arise if the Commission were required to share oversight duties with the Commodity Futures Trading Commission.</w:t>
      </w:r>
      <w:r w:rsidRPr="005D23AC">
        <w:rPr>
          <w:rFonts w:ascii="Calibri" w:hAnsi="Calibri" w:cs="Calibri"/>
          <w:b/>
          <w:color w:val="auto"/>
          <w:sz w:val="24"/>
        </w:rPr>
        <w:t xml:space="preserve"> </w:t>
      </w:r>
    </w:p>
    <w:p w14:paraId="2942B5BD" w14:textId="40D19E04" w:rsidR="00543B6B" w:rsidRPr="005D23AC" w:rsidRDefault="00543B6B" w:rsidP="00543B6B">
      <w:pPr>
        <w:pStyle w:val="BulletedList"/>
        <w:numPr>
          <w:ilvl w:val="0"/>
          <w:numId w:val="39"/>
        </w:numPr>
        <w:spacing w:after="60"/>
        <w:ind w:left="990" w:right="0"/>
        <w:jc w:val="left"/>
        <w:rPr>
          <w:rFonts w:ascii="Calibri" w:hAnsi="Calibri" w:cs="Calibri"/>
          <w:b/>
          <w:smallCaps/>
          <w:color w:val="auto"/>
          <w:sz w:val="24"/>
          <w:szCs w:val="24"/>
          <w:u w:val="single"/>
        </w:rPr>
      </w:pPr>
      <w:r w:rsidRPr="005D23AC">
        <w:rPr>
          <w:rFonts w:ascii="Calibri" w:hAnsi="Calibri" w:cs="Calibri"/>
          <w:b/>
          <w:color w:val="auto"/>
          <w:sz w:val="24"/>
          <w:szCs w:val="24"/>
        </w:rPr>
        <w:t xml:space="preserve">Coordination </w:t>
      </w:r>
      <w:r w:rsidR="0017160C" w:rsidRPr="005D23AC">
        <w:rPr>
          <w:rFonts w:ascii="Calibri" w:hAnsi="Calibri" w:cs="Calibri"/>
          <w:b/>
          <w:color w:val="auto"/>
          <w:sz w:val="24"/>
          <w:szCs w:val="24"/>
        </w:rPr>
        <w:t>of</w:t>
      </w:r>
      <w:r w:rsidRPr="005D23AC">
        <w:rPr>
          <w:rFonts w:ascii="Calibri" w:hAnsi="Calibri" w:cs="Calibri"/>
          <w:b/>
          <w:color w:val="auto"/>
          <w:sz w:val="24"/>
          <w:szCs w:val="24"/>
        </w:rPr>
        <w:t xml:space="preserve"> State and Regional Environmental Efforts.</w:t>
      </w:r>
      <w:r w:rsidRPr="005D23AC">
        <w:rPr>
          <w:rFonts w:ascii="Calibri" w:hAnsi="Calibri" w:cs="Calibri"/>
          <w:color w:val="auto"/>
          <w:sz w:val="24"/>
          <w:szCs w:val="24"/>
        </w:rPr>
        <w:t xml:space="preserve"> To assist the FERC’s efforts to track efforts to implement environmental programs, met with several state programs and industry groups, as well as with regional groups such as RGGI. He represented the FERC in a consortium of federal regulatory agencies that advised California in its implementation and oversight of a carbon cap-and-trade system.</w:t>
      </w:r>
    </w:p>
    <w:p w14:paraId="6A5250B4" w14:textId="77777777" w:rsidR="00EB5454" w:rsidRPr="005D23AC" w:rsidRDefault="00EB5454">
      <w:pPr>
        <w:rPr>
          <w:rFonts w:ascii="Calibri" w:eastAsia="Times New Roman" w:hAnsi="Calibri" w:cs="Calibri"/>
          <w:b/>
          <w:szCs w:val="24"/>
          <w:lang w:eastAsia="en-US"/>
        </w:rPr>
      </w:pPr>
      <w:r w:rsidRPr="005D23AC">
        <w:rPr>
          <w:rFonts w:ascii="Calibri" w:hAnsi="Calibri" w:cs="Calibri"/>
          <w:b/>
          <w:szCs w:val="24"/>
        </w:rPr>
        <w:br w:type="page"/>
      </w:r>
    </w:p>
    <w:p w14:paraId="4F1EB71F" w14:textId="2DA33C70" w:rsidR="00543B6B" w:rsidRPr="005D23AC" w:rsidRDefault="00543B6B" w:rsidP="00543B6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Calibri" w:hAnsi="Calibri" w:cs="Calibri"/>
          <w:b/>
          <w:color w:val="auto"/>
          <w:sz w:val="24"/>
          <w:szCs w:val="24"/>
        </w:rPr>
        <w:lastRenderedPageBreak/>
        <w:t>Creation of a Federal Renewable Electricity Standard Program.</w:t>
      </w:r>
      <w:r w:rsidRPr="005D23AC">
        <w:rPr>
          <w:rFonts w:ascii="Calibri" w:hAnsi="Calibri" w:cs="Calibri"/>
          <w:color w:val="auto"/>
          <w:sz w:val="24"/>
          <w:szCs w:val="24"/>
        </w:rPr>
        <w:t xml:space="preserve"> FERC staff met to estimate the resources required of the FERC in the event that the Commission was tasked with the establishment and oversight of a Renewable Electricity Standards program as specified in the Waxman-Markey bill passed by the House of Representatives in June 2008. This project was separated into two phases. The first phase assessed the need for regulations to establish the RES program and the markets for Renewable Electricity Credits and Electricity Savings. The second phase estimated the resources that would be required across the Commission to implement and oversee the federal RES program.</w:t>
      </w:r>
    </w:p>
    <w:p w14:paraId="3FA38171" w14:textId="764FB576" w:rsidR="00543B6B" w:rsidRPr="005D23AC" w:rsidRDefault="008604FD" w:rsidP="006C0CC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Calibri" w:hAnsi="Calibri" w:cs="Calibri"/>
          <w:b/>
          <w:color w:val="auto"/>
          <w:sz w:val="24"/>
          <w:szCs w:val="24"/>
        </w:rPr>
        <w:t>Economic Impact of Avoided Environmental Costs.</w:t>
      </w:r>
      <w:r w:rsidRPr="005D23AC">
        <w:rPr>
          <w:rFonts w:ascii="Calibri" w:hAnsi="Calibri" w:cs="Calibri"/>
          <w:color w:val="auto"/>
          <w:sz w:val="24"/>
          <w:szCs w:val="24"/>
        </w:rPr>
        <w:t xml:space="preserve"> Assisted the economic and environmental evaluation of the expected pollution arising from operation of the coal-fired Holcomb Plant relative to other alternative energy sources. The focus was on the benefits of clean-coal technology versus less efficient sources.</w:t>
      </w:r>
    </w:p>
    <w:p w14:paraId="5600D6A5" w14:textId="21874FDB" w:rsidR="006B1979" w:rsidRPr="005D23AC" w:rsidRDefault="006B1979" w:rsidP="006C0CC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 xml:space="preserve">Economic Evaluation of Alternatives Concerning Coal Generating Station. </w:t>
      </w:r>
      <w:r w:rsidRPr="005D23AC">
        <w:rPr>
          <w:rFonts w:asciiTheme="minorHAnsi" w:hAnsiTheme="minorHAnsi" w:cstheme="minorHAnsi"/>
          <w:color w:val="auto"/>
          <w:sz w:val="24"/>
          <w:szCs w:val="24"/>
        </w:rPr>
        <w:t>Prepared an economic, environmental, and engineering evaluation of the potential benefits derived from reopening the Dean H. Mitchell coal plant. This included estimating construction and operating costs of alternate repowering configurations to offer alternatives to rebuilding the plant. Environmental cost estimates were then used to evaluate options which would avoid the need for new source review. Estimated the profitability of these options using forecasted fuel prices, weather, and financing costs, resulting in discounted cash flow analyses that were subjected to sensitivity analyses for robustness.</w:t>
      </w:r>
    </w:p>
    <w:p w14:paraId="7E799E30" w14:textId="4AF79F9B" w:rsidR="006B1979" w:rsidRPr="005D23AC" w:rsidRDefault="006B1979" w:rsidP="006C0CCB">
      <w:pPr>
        <w:pStyle w:val="BulletedList"/>
        <w:numPr>
          <w:ilvl w:val="0"/>
          <w:numId w:val="39"/>
        </w:numPr>
        <w:spacing w:after="60"/>
        <w:ind w:left="990" w:right="0"/>
        <w:jc w:val="left"/>
        <w:rPr>
          <w:rFonts w:asciiTheme="minorHAnsi" w:hAnsiTheme="minorHAnsi" w:cstheme="minorHAnsi"/>
          <w:color w:val="auto"/>
          <w:sz w:val="24"/>
          <w:szCs w:val="24"/>
        </w:rPr>
      </w:pPr>
      <w:r w:rsidRPr="005D23AC">
        <w:rPr>
          <w:rFonts w:asciiTheme="minorHAnsi" w:hAnsiTheme="minorHAnsi" w:cstheme="minorHAnsi"/>
          <w:b/>
          <w:color w:val="auto"/>
          <w:sz w:val="24"/>
          <w:szCs w:val="24"/>
        </w:rPr>
        <w:t>Fuel Plan for Combined-Cycle Power Plant.</w:t>
      </w:r>
      <w:r w:rsidRPr="005D23AC">
        <w:rPr>
          <w:rFonts w:asciiTheme="minorHAnsi" w:hAnsiTheme="minorHAnsi" w:cstheme="minorHAnsi"/>
          <w:color w:val="auto"/>
          <w:sz w:val="24"/>
          <w:szCs w:val="24"/>
        </w:rPr>
        <w:t xml:space="preserve"> This analysis examined the demand profile for natural gas of existing units and planned future units at a combined-cycle facility. Study included regional analyses of the transportation and storage capacity within the region, analysis of gas supply, projections of the delivered cost of gas, and a discussion of fuel management issues under the existing contracts. The resulting fuel plan was used to support the bond rating of the plant owner. </w:t>
      </w:r>
    </w:p>
    <w:p w14:paraId="495CCCC7" w14:textId="026837D2" w:rsidR="00673D4B" w:rsidRPr="005D23AC" w:rsidRDefault="00673D4B" w:rsidP="006C0CCB">
      <w:pPr>
        <w:pStyle w:val="BulletedList"/>
        <w:numPr>
          <w:ilvl w:val="0"/>
          <w:numId w:val="39"/>
        </w:numPr>
        <w:spacing w:after="60"/>
        <w:ind w:left="990" w:right="0"/>
        <w:jc w:val="left"/>
        <w:rPr>
          <w:rFonts w:ascii="Calibri" w:hAnsi="Calibri" w:cs="Calibri"/>
          <w:color w:val="auto"/>
          <w:sz w:val="24"/>
          <w:szCs w:val="24"/>
        </w:rPr>
      </w:pPr>
      <w:r w:rsidRPr="005D23AC">
        <w:rPr>
          <w:rFonts w:ascii="Calibri" w:hAnsi="Calibri" w:cs="Calibri"/>
          <w:b/>
          <w:color w:val="auto"/>
          <w:sz w:val="24"/>
          <w:szCs w:val="24"/>
        </w:rPr>
        <w:t xml:space="preserve">Statistical Analyses in Support of Ratemaking &amp; Cost of Service Studies. </w:t>
      </w:r>
      <w:r w:rsidRPr="005D23AC">
        <w:rPr>
          <w:rFonts w:ascii="Calibri" w:hAnsi="Calibri" w:cs="Calibri"/>
          <w:color w:val="auto"/>
          <w:sz w:val="24"/>
          <w:szCs w:val="24"/>
        </w:rPr>
        <w:t xml:space="preserve">Performed statistical comparisons of historic energy usage/loads to yield regression equations used to “normalize” test year loads using a comparison of actual and normal values for the dependent variables. The analyses were used to evaluate how the test year should be adjusted to account for rate differentials amongst various service classes. </w:t>
      </w:r>
    </w:p>
    <w:p w14:paraId="0828DB18" w14:textId="77777777" w:rsidR="00673D4B" w:rsidRPr="005D23AC" w:rsidRDefault="00673D4B" w:rsidP="006C0CCB">
      <w:pPr>
        <w:pStyle w:val="BulletedList"/>
        <w:numPr>
          <w:ilvl w:val="0"/>
          <w:numId w:val="39"/>
        </w:numPr>
        <w:spacing w:after="60"/>
        <w:ind w:left="990" w:right="0"/>
        <w:jc w:val="left"/>
        <w:rPr>
          <w:rFonts w:ascii="Calibri" w:hAnsi="Calibri" w:cs="Calibri"/>
          <w:color w:val="auto"/>
          <w:sz w:val="24"/>
          <w:szCs w:val="24"/>
        </w:rPr>
      </w:pPr>
      <w:r w:rsidRPr="005D23AC">
        <w:rPr>
          <w:rFonts w:ascii="Calibri" w:hAnsi="Calibri" w:cs="Calibri"/>
          <w:b/>
          <w:color w:val="auto"/>
          <w:sz w:val="24"/>
          <w:szCs w:val="24"/>
        </w:rPr>
        <w:t xml:space="preserve">25-Year Analysis of Power Resources for Generation and Transmission Cooperative. </w:t>
      </w:r>
      <w:r w:rsidRPr="005D23AC">
        <w:rPr>
          <w:rFonts w:ascii="Calibri" w:hAnsi="Calibri" w:cs="Calibri"/>
          <w:color w:val="auto"/>
          <w:sz w:val="24"/>
          <w:szCs w:val="24"/>
        </w:rPr>
        <w:t xml:space="preserve">Performed the economic analysis for a long range plan of generation resources for a large electric utility in the eastern US Compared the utility’s existing and planned future asset mix (including coal, nuclear, hydroelectric combined-cycle, combustion turbine, and purchased power) against planned load growth to determine when new resources would be required and what type would best suit the seasonal load duration curves in each future year. </w:t>
      </w:r>
    </w:p>
    <w:p w14:paraId="62A90B86" w14:textId="77777777" w:rsidR="00EB5454" w:rsidRPr="005D23AC" w:rsidRDefault="00EB5454">
      <w:pPr>
        <w:rPr>
          <w:rFonts w:ascii="Calibri" w:eastAsia="Times New Roman" w:hAnsi="Calibri" w:cs="Calibri"/>
          <w:b/>
          <w:szCs w:val="24"/>
          <w:lang w:eastAsia="en-US"/>
        </w:rPr>
      </w:pPr>
      <w:r w:rsidRPr="005D23AC">
        <w:rPr>
          <w:rFonts w:ascii="Calibri" w:hAnsi="Calibri" w:cs="Calibri"/>
          <w:b/>
          <w:szCs w:val="24"/>
        </w:rPr>
        <w:br w:type="page"/>
      </w:r>
    </w:p>
    <w:p w14:paraId="38FE35E3" w14:textId="0B9B5F70" w:rsidR="00610CBA" w:rsidRPr="005D23AC" w:rsidRDefault="00673D4B" w:rsidP="00153A67">
      <w:pPr>
        <w:pStyle w:val="BulletedList"/>
        <w:numPr>
          <w:ilvl w:val="0"/>
          <w:numId w:val="39"/>
        </w:numPr>
        <w:spacing w:after="60"/>
        <w:ind w:left="990" w:right="0"/>
        <w:jc w:val="left"/>
        <w:rPr>
          <w:rFonts w:cstheme="minorHAnsi"/>
          <w:b/>
          <w:color w:val="auto"/>
          <w:szCs w:val="24"/>
        </w:rPr>
      </w:pPr>
      <w:r w:rsidRPr="005D23AC">
        <w:rPr>
          <w:rFonts w:ascii="Calibri" w:hAnsi="Calibri" w:cs="Calibri"/>
          <w:b/>
          <w:color w:val="auto"/>
          <w:sz w:val="24"/>
          <w:szCs w:val="24"/>
        </w:rPr>
        <w:lastRenderedPageBreak/>
        <w:t>Short-Term Load Forecast and Power Supply Analysis for Generation and Transmission Coop.</w:t>
      </w:r>
      <w:r w:rsidRPr="005D23AC">
        <w:rPr>
          <w:rFonts w:ascii="Calibri" w:hAnsi="Calibri" w:cs="Calibri"/>
          <w:color w:val="auto"/>
          <w:sz w:val="24"/>
          <w:szCs w:val="24"/>
        </w:rPr>
        <w:t xml:space="preserve"> Used regression analyses to determine the relationship between weather and other dependent variables upon hourly loads for a G&amp;T cooperative. </w:t>
      </w:r>
      <w:r w:rsidR="00610CBA" w:rsidRPr="005D23AC">
        <w:rPr>
          <w:rFonts w:ascii="Calibri" w:hAnsi="Calibri" w:cs="Calibri"/>
          <w:color w:val="auto"/>
          <w:sz w:val="24"/>
          <w:szCs w:val="24"/>
        </w:rPr>
        <w:t>H</w:t>
      </w:r>
      <w:r w:rsidRPr="005D23AC">
        <w:rPr>
          <w:rFonts w:ascii="Calibri" w:hAnsi="Calibri" w:cs="Calibri"/>
          <w:color w:val="auto"/>
          <w:sz w:val="24"/>
          <w:szCs w:val="24"/>
        </w:rPr>
        <w:t>ourly data for weather and prior loads were retrieved and the regressions applied to provide hourly forecasts up to two weeks from the date the model was run. The future loads were compared to available resources and projected power prices to determine whether additional strips of energy would need to be purchased or if the supplier would rely upon the spot market to serve its energy requirements.</w:t>
      </w:r>
    </w:p>
    <w:p w14:paraId="508F6FE8" w14:textId="3044A2CB" w:rsidR="00673D4B" w:rsidRPr="005D23AC" w:rsidRDefault="00673D4B" w:rsidP="006C0CCB">
      <w:pPr>
        <w:pStyle w:val="BulletedList"/>
        <w:numPr>
          <w:ilvl w:val="0"/>
          <w:numId w:val="39"/>
        </w:numPr>
        <w:spacing w:after="60"/>
        <w:ind w:left="990" w:right="0"/>
        <w:jc w:val="left"/>
        <w:rPr>
          <w:rFonts w:ascii="Calibri" w:hAnsi="Calibri" w:cs="Calibri"/>
          <w:b/>
          <w:smallCaps/>
          <w:color w:val="auto"/>
          <w:sz w:val="24"/>
          <w:szCs w:val="24"/>
          <w:u w:val="single"/>
        </w:rPr>
      </w:pPr>
      <w:r w:rsidRPr="005D23AC">
        <w:rPr>
          <w:rFonts w:ascii="Calibri" w:hAnsi="Calibri" w:cs="Calibri"/>
          <w:b/>
          <w:color w:val="auto"/>
          <w:sz w:val="24"/>
          <w:szCs w:val="24"/>
        </w:rPr>
        <w:t>Load Forecasting.</w:t>
      </w:r>
      <w:r w:rsidRPr="005D23AC">
        <w:rPr>
          <w:rFonts w:ascii="Calibri" w:hAnsi="Calibri" w:cs="Calibri"/>
          <w:color w:val="auto"/>
          <w:sz w:val="24"/>
          <w:szCs w:val="24"/>
        </w:rPr>
        <w:t xml:space="preserve"> Performed or supervised the performance of long-term economic forecasts of electric loads for clients including generation and transmission cooperatives, public power authorities, and associated distribution member systems. Data from sources including NOAA, the Bureau of Labor Statistics, the Department of Energy, and other demographic data derived from public and private sources used to forecast electrical energy usage and demands using econometric techniques. Sensitivity analyses were performed to account for extremes in weather conditions or in other dependent variables significant to the models forecasted.</w:t>
      </w:r>
    </w:p>
    <w:p w14:paraId="7702A137" w14:textId="77777777" w:rsidR="004E00EC" w:rsidRPr="005D23AC" w:rsidRDefault="004E00EC" w:rsidP="004E00EC">
      <w:pPr>
        <w:pStyle w:val="TitleOfficeLocation"/>
        <w:rPr>
          <w:color w:val="auto"/>
        </w:rPr>
      </w:pPr>
    </w:p>
    <w:p w14:paraId="3AEFBB2F" w14:textId="4729DD4A" w:rsidR="004E00EC" w:rsidRPr="00950863" w:rsidRDefault="00090C67" w:rsidP="004E00EC">
      <w:pPr>
        <w:pStyle w:val="TitleOfficeLocation"/>
      </w:pPr>
      <w:r w:rsidRPr="00090C67">
        <w:t>Antitrust</w:t>
      </w:r>
      <w:r w:rsidR="006E1CFB">
        <w:t xml:space="preserve">, </w:t>
      </w:r>
      <w:r w:rsidRPr="00090C67">
        <w:t>Competition</w:t>
      </w:r>
      <w:r w:rsidR="006E1CFB">
        <w:t>, and M&amp;A Analysis</w:t>
      </w:r>
    </w:p>
    <w:p w14:paraId="5C14C8F6" w14:textId="1A9FD588" w:rsidR="00F84545" w:rsidRPr="00C8641A" w:rsidRDefault="00F84545"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Antitrust Damages Related to Alleged Natural Gas Manipulation. </w:t>
      </w:r>
      <w:r w:rsidRPr="00C8641A">
        <w:rPr>
          <w:rFonts w:asciiTheme="minorHAnsi" w:hAnsiTheme="minorHAnsi" w:cstheme="minorHAnsi"/>
          <w:color w:val="auto"/>
          <w:sz w:val="24"/>
          <w:szCs w:val="24"/>
        </w:rPr>
        <w:t xml:space="preserve">Supported expert in defining the relevant market in </w:t>
      </w:r>
      <w:r w:rsidR="003D24C4" w:rsidRPr="00C8641A">
        <w:rPr>
          <w:rFonts w:asciiTheme="minorHAnsi" w:hAnsiTheme="minorHAnsi" w:cstheme="minorHAnsi"/>
          <w:color w:val="auto"/>
          <w:sz w:val="24"/>
          <w:szCs w:val="24"/>
        </w:rPr>
        <w:t>a</w:t>
      </w:r>
      <w:r w:rsidRPr="00C8641A">
        <w:rPr>
          <w:rFonts w:asciiTheme="minorHAnsi" w:hAnsiTheme="minorHAnsi" w:cstheme="minorHAnsi"/>
          <w:color w:val="auto"/>
          <w:sz w:val="24"/>
          <w:szCs w:val="24"/>
        </w:rPr>
        <w:t xml:space="preserve"> case involving the alleged manipulation of natural gas indices during the Western Power Crisis. Focus was the definition of market power when the recoupment of losses derived from outside of the physical market.</w:t>
      </w:r>
    </w:p>
    <w:p w14:paraId="00197DBE" w14:textId="2593FD9A" w:rsidR="00894100" w:rsidRPr="00C8641A" w:rsidRDefault="00894100" w:rsidP="009E1030">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Valuation of a Rural Wireless Telephone Company.</w:t>
      </w:r>
      <w:r w:rsidRPr="00C8641A">
        <w:rPr>
          <w:rFonts w:asciiTheme="minorHAnsi" w:hAnsiTheme="minorHAnsi" w:cstheme="minorHAnsi"/>
          <w:color w:val="auto"/>
          <w:sz w:val="24"/>
          <w:szCs w:val="24"/>
        </w:rPr>
        <w:t xml:space="preserve"> Team performed a valuation of a 20 percent interest in a Rural Service Area to be used for debt securitization. The valuation used discounted cash flow, comparable sales, and spectrum valuation methodologies to provide a band of values within which the interest could sell.</w:t>
      </w:r>
    </w:p>
    <w:p w14:paraId="00CF7882" w14:textId="37F2FE7B" w:rsidR="009E1030" w:rsidRPr="00C8641A" w:rsidRDefault="009E1030" w:rsidP="009E1030">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Evaluation of Privatization of University Utility Systems.</w:t>
      </w:r>
      <w:r w:rsidRPr="00C8641A">
        <w:rPr>
          <w:rFonts w:asciiTheme="minorHAnsi" w:hAnsiTheme="minorHAnsi" w:cstheme="minorHAnsi"/>
          <w:color w:val="auto"/>
          <w:sz w:val="24"/>
          <w:szCs w:val="24"/>
        </w:rPr>
        <w:t xml:space="preserve"> Led the team that produced a feasibility study to determine the potential value of and market interest in seven utility systems owned by a public university. Sensitivity analyses were used to produce a range of discounted cash flow models of the forecasted revenue streams produced by each system. These outcomes were then compared to the relative capital improvements and operating expenditures needed to modernize and run the systems in perpetuity. Significant consideration was given to the likely cost of capital required of potential bidders, which ultimately constrained the likelihood of successful privatization for several of the systems absent the payment of large subsidies by the university.</w:t>
      </w:r>
    </w:p>
    <w:p w14:paraId="43C93BF5" w14:textId="4DA36529" w:rsidR="009E1030" w:rsidRPr="00C8641A" w:rsidRDefault="009E1030" w:rsidP="009E1030">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Evaluation of Procurement of the Sugar Creek Generating Station. </w:t>
      </w:r>
      <w:r w:rsidRPr="00C8641A">
        <w:rPr>
          <w:rFonts w:asciiTheme="minorHAnsi" w:hAnsiTheme="minorHAnsi" w:cstheme="minorHAnsi"/>
          <w:color w:val="auto"/>
          <w:sz w:val="24"/>
          <w:szCs w:val="24"/>
        </w:rPr>
        <w:t>Led a cost-benefit analysis of the benefits derived from the purchase of the Sugar Creek power plant by NIPSCO. The analysis used recent sales of similar plants, construction costs, historic plant characteristics, future sales into MISO and PJM, and future difficulty in building other fossil projects.</w:t>
      </w:r>
    </w:p>
    <w:p w14:paraId="106CB19C" w14:textId="457B60DE" w:rsidR="000A17C8" w:rsidRPr="00C8641A" w:rsidRDefault="000A17C8" w:rsidP="009E1030">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Valuation of Indiana-American Water Company Inc.</w:t>
      </w:r>
      <w:r w:rsidRPr="00C8641A">
        <w:rPr>
          <w:rFonts w:asciiTheme="minorHAnsi" w:hAnsiTheme="minorHAnsi" w:cstheme="minorHAnsi"/>
          <w:color w:val="auto"/>
          <w:sz w:val="24"/>
          <w:szCs w:val="24"/>
        </w:rPr>
        <w:t xml:space="preserve"> </w:t>
      </w:r>
      <w:r w:rsidR="00E946B3" w:rsidRPr="00C8641A">
        <w:rPr>
          <w:rFonts w:asciiTheme="minorHAnsi" w:hAnsiTheme="minorHAnsi" w:cstheme="minorHAnsi"/>
          <w:color w:val="auto"/>
          <w:sz w:val="24"/>
          <w:szCs w:val="24"/>
        </w:rPr>
        <w:t>R</w:t>
      </w:r>
      <w:r w:rsidRPr="00C8641A">
        <w:rPr>
          <w:rFonts w:asciiTheme="minorHAnsi" w:hAnsiTheme="minorHAnsi" w:cstheme="minorHAnsi"/>
          <w:color w:val="auto"/>
          <w:sz w:val="24"/>
          <w:szCs w:val="24"/>
        </w:rPr>
        <w:t>ate case intervention to determine the fair value the water and wastewater assets of Indiana-American Water Company (Cause No. 42029, Indiana Utility Regulatory Commission). Performed a market-based valuation of these assets to evaluate whether the client should protest the asset valuation proposed by the company in this case.</w:t>
      </w:r>
    </w:p>
    <w:p w14:paraId="43A4EA9C" w14:textId="66401742" w:rsidR="006B1979" w:rsidRPr="00C8641A" w:rsidRDefault="006B1979"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Antitrust Violations in Beauty Supply Market.</w:t>
      </w:r>
      <w:r w:rsidRPr="00C8641A">
        <w:rPr>
          <w:rFonts w:asciiTheme="minorHAnsi" w:hAnsiTheme="minorHAnsi" w:cstheme="minorHAnsi"/>
          <w:color w:val="auto"/>
          <w:sz w:val="24"/>
          <w:szCs w:val="24"/>
        </w:rPr>
        <w:t xml:space="preserve"> </w:t>
      </w:r>
      <w:r w:rsidR="00FA249A" w:rsidRPr="00C8641A">
        <w:rPr>
          <w:rFonts w:asciiTheme="minorHAnsi" w:hAnsiTheme="minorHAnsi" w:cstheme="minorHAnsi"/>
          <w:color w:val="auto"/>
          <w:sz w:val="24"/>
          <w:szCs w:val="24"/>
        </w:rPr>
        <w:t>B</w:t>
      </w:r>
      <w:r w:rsidRPr="00C8641A">
        <w:rPr>
          <w:rFonts w:asciiTheme="minorHAnsi" w:hAnsiTheme="minorHAnsi" w:cstheme="minorHAnsi"/>
          <w:color w:val="auto"/>
          <w:sz w:val="24"/>
          <w:szCs w:val="24"/>
        </w:rPr>
        <w:t>eauty supply company sued a large national chain for violations of the antitrust laws pertaining to the market foreclosure of plaintiff’s generic brands. Supported the analyses and testimony required to demonstrate the injury to competition and damages claimed.</w:t>
      </w:r>
    </w:p>
    <w:p w14:paraId="28C93013" w14:textId="676A9AE4" w:rsidR="006B1979" w:rsidRPr="00C8641A" w:rsidRDefault="006B1979"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Damages for Antitrust Violations in Discount Grocery Market. </w:t>
      </w:r>
      <w:r w:rsidRPr="00C8641A">
        <w:rPr>
          <w:rFonts w:asciiTheme="minorHAnsi" w:hAnsiTheme="minorHAnsi" w:cstheme="minorHAnsi"/>
          <w:color w:val="auto"/>
          <w:sz w:val="24"/>
          <w:szCs w:val="24"/>
        </w:rPr>
        <w:t>Assisted a local grocer facing predation by national chain in all phases of analysis and resulting testimony to establish the predatory behavior and to assess damages associated therewith.</w:t>
      </w:r>
    </w:p>
    <w:p w14:paraId="39DEC080" w14:textId="5EA5FA86" w:rsidR="006B1979" w:rsidRPr="00C8641A" w:rsidRDefault="006B1979"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Defense of Payphone Service Provider against Antitrust Claims.</w:t>
      </w:r>
      <w:r w:rsidRPr="00C8641A">
        <w:rPr>
          <w:rFonts w:asciiTheme="minorHAnsi" w:hAnsiTheme="minorHAnsi" w:cstheme="minorHAnsi"/>
          <w:color w:val="auto"/>
          <w:sz w:val="24"/>
          <w:szCs w:val="24"/>
        </w:rPr>
        <w:t xml:space="preserve"> </w:t>
      </w:r>
      <w:r w:rsidR="00FA249A" w:rsidRPr="00C8641A">
        <w:rPr>
          <w:rFonts w:asciiTheme="minorHAnsi" w:hAnsiTheme="minorHAnsi" w:cstheme="minorHAnsi"/>
          <w:color w:val="auto"/>
          <w:sz w:val="24"/>
          <w:szCs w:val="24"/>
        </w:rPr>
        <w:t>C</w:t>
      </w:r>
      <w:r w:rsidRPr="00C8641A">
        <w:rPr>
          <w:rFonts w:asciiTheme="minorHAnsi" w:hAnsiTheme="minorHAnsi" w:cstheme="minorHAnsi"/>
          <w:color w:val="auto"/>
          <w:sz w:val="24"/>
          <w:szCs w:val="24"/>
        </w:rPr>
        <w:t>lient accused of monopolizing the market for pay phone services by several independent payphone service providers. Assisted in the creation of analysis and testimony designed to show the complimentary nature of payphones and cell phones, thereby asserting the defendant’s lack of market power within the broader product market.</w:t>
      </w:r>
    </w:p>
    <w:p w14:paraId="59D3CBD0" w14:textId="406C717C" w:rsidR="006B1979" w:rsidRPr="00C8641A" w:rsidRDefault="006B1979"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Antitrust Damages in Automobile Transportation Market.</w:t>
      </w:r>
      <w:r w:rsidRPr="00C8641A">
        <w:rPr>
          <w:rFonts w:asciiTheme="minorHAnsi" w:hAnsiTheme="minorHAnsi" w:cstheme="minorHAnsi"/>
          <w:color w:val="auto"/>
          <w:sz w:val="24"/>
          <w:szCs w:val="24"/>
        </w:rPr>
        <w:t xml:space="preserve"> The client was a hauler of automobiles suing an auto auction house for foreclosing access to the auction floor. Assisted in the study of the product and geographic dimensions of the affected market to support plaintiff’s case.</w:t>
      </w:r>
    </w:p>
    <w:p w14:paraId="1B4A6CC1" w14:textId="08B906B5" w:rsidR="000A17C8" w:rsidRPr="00C8641A" w:rsidRDefault="000A17C8"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Valuation of the Assets of North Carolina Power.</w:t>
      </w:r>
      <w:r w:rsidRPr="00C8641A">
        <w:rPr>
          <w:rFonts w:asciiTheme="minorHAnsi" w:hAnsiTheme="minorHAnsi" w:cstheme="minorHAnsi"/>
          <w:color w:val="auto"/>
          <w:sz w:val="24"/>
          <w:szCs w:val="24"/>
        </w:rPr>
        <w:t xml:space="preserve"> In a feasibility analysis for acquiring a portion of the transmission and distribution system of North Carolina Power, assisted valuation analysis using replacement cost less depreciation and performed an economic analysis centered on ratepayer effects and sensitivity studies pertaining to the valuation.</w:t>
      </w:r>
    </w:p>
    <w:p w14:paraId="56030CAF" w14:textId="148F8D76" w:rsidR="00FA249A" w:rsidRPr="00C8641A" w:rsidRDefault="00FA249A"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Price Squeeze and Vertical Restraint of Trade.</w:t>
      </w:r>
      <w:r w:rsidRPr="00C8641A">
        <w:rPr>
          <w:rFonts w:asciiTheme="minorHAnsi" w:hAnsiTheme="minorHAnsi" w:cstheme="minorHAnsi"/>
          <w:color w:val="auto"/>
          <w:sz w:val="24"/>
          <w:szCs w:val="24"/>
        </w:rPr>
        <w:t xml:space="preserve"> Hired as an expert in case involving an upstream supplier of minerals raising input prices and disrupting the regularity of supply to injure a downstream service provider to benefit its own downstream subsidiary.</w:t>
      </w:r>
    </w:p>
    <w:p w14:paraId="6232ADB3" w14:textId="5424656F" w:rsidR="00BF15A1" w:rsidRPr="00C8641A" w:rsidRDefault="00BF15A1"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Analysis of Entry Strategy into US Market.</w:t>
      </w:r>
      <w:r w:rsidRPr="00C8641A">
        <w:rPr>
          <w:rFonts w:asciiTheme="minorHAnsi" w:hAnsiTheme="minorHAnsi" w:cstheme="minorHAnsi"/>
          <w:color w:val="auto"/>
          <w:sz w:val="24"/>
          <w:szCs w:val="24"/>
        </w:rPr>
        <w:t xml:space="preserve"> Report for a European construction firm seeking to determine best strategies for entry into US HVAC construction. Study began with an overall examination of entry strategy (i.e., acquisition, merger, joint venture, or new entry) and geographic location, and culminated in a comprehensive entry strategy. Analysis involved a survey of potential acquisition targets.</w:t>
      </w:r>
    </w:p>
    <w:p w14:paraId="79F6585E" w14:textId="394EA9D4" w:rsidR="006B1979" w:rsidRPr="00C8641A" w:rsidRDefault="006B1979" w:rsidP="003D24C4">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Market Analyses to Support Franchise Applications.</w:t>
      </w:r>
      <w:r w:rsidRPr="00C8641A">
        <w:rPr>
          <w:rFonts w:asciiTheme="minorHAnsi" w:hAnsiTheme="minorHAnsi" w:cstheme="minorHAnsi"/>
          <w:color w:val="auto"/>
          <w:sz w:val="24"/>
          <w:szCs w:val="24"/>
        </w:rPr>
        <w:t xml:space="preserve"> Assisted in performing analyses and production of testimony pertaining to the applications of clients to obtain franchises to enter the markets for automobiles and outboard boat motors. The presiding administrative authority approved both applications.</w:t>
      </w:r>
    </w:p>
    <w:p w14:paraId="7D0E7E09" w14:textId="77777777" w:rsidR="00EB5454" w:rsidRDefault="00EB5454">
      <w:pPr>
        <w:rPr>
          <w:rFonts w:eastAsia="Times New Roman" w:cstheme="minorHAnsi"/>
          <w:b/>
          <w:color w:val="302F35"/>
          <w:szCs w:val="24"/>
          <w:lang w:eastAsia="en-US"/>
        </w:rPr>
      </w:pPr>
      <w:r>
        <w:rPr>
          <w:rFonts w:cstheme="minorHAnsi"/>
          <w:b/>
          <w:szCs w:val="24"/>
        </w:rPr>
        <w:br w:type="page"/>
      </w:r>
    </w:p>
    <w:p w14:paraId="10D8A42B" w14:textId="520AA2A5" w:rsidR="003C0BA9" w:rsidRPr="00C8641A" w:rsidRDefault="003C0BA9" w:rsidP="003C0BA9">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 xml:space="preserve">Valuation of the Oklaunion Generating Station. </w:t>
      </w:r>
      <w:r w:rsidRPr="00C8641A">
        <w:rPr>
          <w:rFonts w:asciiTheme="minorHAnsi" w:hAnsiTheme="minorHAnsi" w:cstheme="minorHAnsi"/>
          <w:color w:val="auto"/>
          <w:sz w:val="24"/>
          <w:szCs w:val="24"/>
        </w:rPr>
        <w:t>Team performed a valuation of a 7.8 percent interest in a coal-fired power plant targeted for acquisition. The valuation used a discounted cash flow methodology supported by fuel price projections and a variety of sensitivity adjustments to key variables.</w:t>
      </w:r>
    </w:p>
    <w:p w14:paraId="19D60BF3" w14:textId="621EB3A0" w:rsidR="003C0BA9" w:rsidRPr="00C8641A" w:rsidRDefault="003C0BA9" w:rsidP="003C0BA9">
      <w:pPr>
        <w:pStyle w:val="BulletedList"/>
        <w:numPr>
          <w:ilvl w:val="0"/>
          <w:numId w:val="39"/>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Valuation of the Assets of Citizen’s Utilities.</w:t>
      </w:r>
      <w:r w:rsidRPr="00C8641A">
        <w:rPr>
          <w:rFonts w:asciiTheme="minorHAnsi" w:hAnsiTheme="minorHAnsi" w:cstheme="minorHAnsi"/>
          <w:color w:val="auto"/>
          <w:sz w:val="24"/>
          <w:szCs w:val="24"/>
        </w:rPr>
        <w:t xml:space="preserve"> This was an acquisition feasibility study of the water, wastewater, electrical, natural gas, and telecommunications assets of Citizen’s Utilities sited in Arizona, California, Colorado, Hawaii, Illinois, Indiana, Louisiana, Ohio Pennsylvania, and Vermont. Assisted in the valuations performed using discounted cash flow and comparable sales of other utility assets.</w:t>
      </w:r>
    </w:p>
    <w:p w14:paraId="7AA911B8" w14:textId="73AA0235" w:rsidR="006B1979" w:rsidRPr="00C8641A" w:rsidRDefault="006B1979" w:rsidP="003D24C4">
      <w:pPr>
        <w:pStyle w:val="BulletedList"/>
        <w:numPr>
          <w:ilvl w:val="0"/>
          <w:numId w:val="39"/>
        </w:numPr>
        <w:ind w:left="990" w:right="0"/>
        <w:jc w:val="left"/>
        <w:rPr>
          <w:rFonts w:asciiTheme="minorHAnsi" w:hAnsiTheme="minorHAnsi" w:cstheme="minorHAnsi"/>
          <w:b/>
          <w:smallCaps/>
          <w:color w:val="auto"/>
          <w:sz w:val="24"/>
          <w:szCs w:val="24"/>
          <w:u w:val="single"/>
        </w:rPr>
      </w:pPr>
      <w:r w:rsidRPr="00C8641A">
        <w:rPr>
          <w:rFonts w:asciiTheme="minorHAnsi" w:hAnsiTheme="minorHAnsi" w:cstheme="minorHAnsi"/>
          <w:b/>
          <w:color w:val="auto"/>
          <w:sz w:val="24"/>
          <w:szCs w:val="24"/>
        </w:rPr>
        <w:t xml:space="preserve">Analysis of Antitrust Applicability to Electric Generators. </w:t>
      </w:r>
      <w:r w:rsidRPr="00C8641A">
        <w:rPr>
          <w:rFonts w:asciiTheme="minorHAnsi" w:hAnsiTheme="minorHAnsi" w:cstheme="minorHAnsi"/>
          <w:color w:val="auto"/>
          <w:sz w:val="24"/>
          <w:szCs w:val="24"/>
        </w:rPr>
        <w:t>Supported the preparation of a report to Texas Electric Cooperatives concerning the existing case law and market potential for mounting antitrust-based claims against generators perceived to abuse market power in wholesale power markets.</w:t>
      </w:r>
    </w:p>
    <w:p w14:paraId="5C239DD1" w14:textId="144E5992" w:rsidR="00857E62" w:rsidRPr="00C8641A" w:rsidRDefault="0029274A" w:rsidP="003D24C4">
      <w:pPr>
        <w:pStyle w:val="BulletedList"/>
        <w:numPr>
          <w:ilvl w:val="0"/>
          <w:numId w:val="39"/>
        </w:numPr>
        <w:ind w:left="990" w:right="0"/>
        <w:jc w:val="left"/>
        <w:rPr>
          <w:rFonts w:asciiTheme="minorHAnsi" w:hAnsiTheme="minorHAnsi" w:cstheme="minorHAnsi"/>
          <w:b/>
          <w:smallCaps/>
          <w:color w:val="auto"/>
          <w:sz w:val="24"/>
          <w:szCs w:val="24"/>
          <w:u w:val="single"/>
        </w:rPr>
      </w:pPr>
      <w:r w:rsidRPr="00C8641A">
        <w:rPr>
          <w:rFonts w:asciiTheme="minorHAnsi" w:hAnsiTheme="minorHAnsi" w:cstheme="minorHAnsi"/>
          <w:b/>
          <w:color w:val="auto"/>
          <w:sz w:val="24"/>
          <w:szCs w:val="24"/>
        </w:rPr>
        <w:t>Intervention into the AEP/CSW Merger.</w:t>
      </w:r>
      <w:r w:rsidRPr="00C8641A">
        <w:rPr>
          <w:rFonts w:asciiTheme="minorHAnsi" w:hAnsiTheme="minorHAnsi" w:cstheme="minorHAnsi"/>
          <w:color w:val="auto"/>
          <w:sz w:val="24"/>
          <w:szCs w:val="24"/>
        </w:rPr>
        <w:t xml:space="preserve"> Assisted analysis of the merger application of American Electric Power and Central South West Corp. for intervention based upon market power concerns. The analysis included a review of market concentration provided by AEP and the production of interrogatories for associated witnesses.</w:t>
      </w:r>
    </w:p>
    <w:p w14:paraId="6DADE21D" w14:textId="77777777" w:rsidR="004E00EC" w:rsidRDefault="004E00EC" w:rsidP="00B0071C">
      <w:pPr>
        <w:spacing w:after="60" w:line="240" w:lineRule="auto"/>
        <w:jc w:val="both"/>
        <w:rPr>
          <w:rFonts w:cstheme="minorHAnsi"/>
          <w:b/>
          <w:szCs w:val="24"/>
        </w:rPr>
      </w:pPr>
    </w:p>
    <w:p w14:paraId="2947F6A2" w14:textId="60D8E438" w:rsidR="005A09C6" w:rsidRPr="00950863" w:rsidRDefault="00147000" w:rsidP="00B0071C">
      <w:pPr>
        <w:pStyle w:val="TitleOfficeLocation"/>
      </w:pPr>
      <w:r w:rsidRPr="00147000">
        <w:t>Tax Controversy and Contractual Damages</w:t>
      </w:r>
    </w:p>
    <w:p w14:paraId="0A7D0C46" w14:textId="5C7B3F3D" w:rsidR="005A09C6" w:rsidRPr="00C8641A" w:rsidRDefault="005A09C6"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Testimony in Support of </w:t>
      </w:r>
      <w:r w:rsidRPr="00C8641A">
        <w:rPr>
          <w:rFonts w:asciiTheme="minorHAnsi" w:hAnsiTheme="minorHAnsi" w:cstheme="minorHAnsi"/>
          <w:b/>
          <w:bCs/>
          <w:color w:val="auto"/>
          <w:sz w:val="24"/>
          <w:szCs w:val="24"/>
        </w:rPr>
        <w:t>I.R.C. § 199 Claim</w:t>
      </w:r>
      <w:r w:rsidRPr="00C8641A">
        <w:rPr>
          <w:rFonts w:asciiTheme="minorHAnsi" w:hAnsiTheme="minorHAnsi" w:cstheme="minorHAnsi"/>
          <w:b/>
          <w:color w:val="auto"/>
          <w:sz w:val="24"/>
          <w:szCs w:val="24"/>
        </w:rPr>
        <w:t>.</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 xml:space="preserve">Providing testimony </w:t>
      </w:r>
      <w:r w:rsidRPr="00C8641A">
        <w:rPr>
          <w:rFonts w:asciiTheme="minorHAnsi" w:hAnsiTheme="minorHAnsi" w:cstheme="minorHAnsi"/>
          <w:iCs/>
          <w:color w:val="auto"/>
          <w:sz w:val="24"/>
          <w:szCs w:val="24"/>
        </w:rPr>
        <w:t>on behalf of plaintiffs seeking tax deductions tied to various printing services contracts.</w:t>
      </w:r>
      <w:r w:rsidR="004B1822" w:rsidRPr="00C8641A">
        <w:rPr>
          <w:rFonts w:asciiTheme="minorHAnsi" w:hAnsiTheme="minorHAnsi" w:cstheme="minorHAnsi"/>
          <w:iCs/>
          <w:color w:val="auto"/>
          <w:sz w:val="24"/>
          <w:szCs w:val="24"/>
        </w:rPr>
        <w:t xml:space="preserve"> </w:t>
      </w:r>
      <w:r w:rsidRPr="00C8641A">
        <w:rPr>
          <w:rFonts w:asciiTheme="minorHAnsi" w:hAnsiTheme="minorHAnsi" w:cstheme="minorHAnsi"/>
          <w:iCs/>
          <w:color w:val="auto"/>
          <w:sz w:val="24"/>
          <w:szCs w:val="24"/>
        </w:rPr>
        <w:t>Economic analysis will evaluate the relative benefits and burdens of ownership conferred in a series of contracts executed between the Plaintiff and its printer.</w:t>
      </w:r>
    </w:p>
    <w:p w14:paraId="7AF66A1A" w14:textId="5407EC03" w:rsidR="005A09C6" w:rsidRPr="00C8641A" w:rsidRDefault="005A09C6"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Testimony in Support of </w:t>
      </w:r>
      <w:r w:rsidRPr="00C8641A">
        <w:rPr>
          <w:rFonts w:asciiTheme="minorHAnsi" w:hAnsiTheme="minorHAnsi" w:cstheme="minorHAnsi"/>
          <w:b/>
          <w:bCs/>
          <w:color w:val="auto"/>
          <w:sz w:val="24"/>
          <w:szCs w:val="24"/>
        </w:rPr>
        <w:t>I.R.C. § 199 Claim</w:t>
      </w:r>
      <w:r w:rsidRPr="00C8641A">
        <w:rPr>
          <w:rFonts w:asciiTheme="minorHAnsi" w:hAnsiTheme="minorHAnsi" w:cstheme="minorHAnsi"/>
          <w:b/>
          <w:color w:val="auto"/>
          <w:sz w:val="24"/>
          <w:szCs w:val="24"/>
        </w:rPr>
        <w:t>.</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 xml:space="preserve">Direct and rebuttal reports filed </w:t>
      </w:r>
      <w:r w:rsidRPr="00C8641A">
        <w:rPr>
          <w:rFonts w:asciiTheme="minorHAnsi" w:hAnsiTheme="minorHAnsi" w:cstheme="minorHAnsi"/>
          <w:iCs/>
          <w:color w:val="auto"/>
          <w:sz w:val="24"/>
          <w:szCs w:val="24"/>
        </w:rPr>
        <w:t>on behalf of plaintiffs seeking tax deductions tied to various printing services contracts.</w:t>
      </w:r>
      <w:r w:rsidR="004B1822" w:rsidRPr="00C8641A">
        <w:rPr>
          <w:rFonts w:asciiTheme="minorHAnsi" w:hAnsiTheme="minorHAnsi" w:cstheme="minorHAnsi"/>
          <w:iCs/>
          <w:color w:val="auto"/>
          <w:sz w:val="24"/>
          <w:szCs w:val="24"/>
        </w:rPr>
        <w:t xml:space="preserve"> </w:t>
      </w:r>
      <w:r w:rsidRPr="00C8641A">
        <w:rPr>
          <w:rFonts w:asciiTheme="minorHAnsi" w:hAnsiTheme="minorHAnsi" w:cstheme="minorHAnsi"/>
          <w:iCs/>
          <w:color w:val="auto"/>
          <w:sz w:val="24"/>
          <w:szCs w:val="24"/>
        </w:rPr>
        <w:t>Economic analysis evaluated the benefits and burdens of ownership conferred in a series of contracts executed between the Plaintiff’s subsidiaries and their printers.</w:t>
      </w:r>
      <w:r w:rsidR="00904BA0" w:rsidRPr="00C8641A">
        <w:rPr>
          <w:rFonts w:asciiTheme="minorHAnsi" w:hAnsiTheme="minorHAnsi" w:cstheme="minorHAnsi"/>
          <w:iCs/>
          <w:color w:val="auto"/>
          <w:sz w:val="24"/>
          <w:szCs w:val="24"/>
        </w:rPr>
        <w:t xml:space="preserve"> </w:t>
      </w:r>
      <w:r w:rsidR="00832147" w:rsidRPr="00C8641A">
        <w:rPr>
          <w:rFonts w:asciiTheme="minorHAnsi" w:hAnsiTheme="minorHAnsi" w:cstheme="minorHAnsi"/>
          <w:iCs/>
          <w:color w:val="auto"/>
          <w:sz w:val="24"/>
          <w:szCs w:val="24"/>
        </w:rPr>
        <w:t>Deposition testimony given on 12/13/18.</w:t>
      </w:r>
    </w:p>
    <w:p w14:paraId="5A515404" w14:textId="43514BB9" w:rsidR="005A09C6" w:rsidRPr="00C8641A" w:rsidRDefault="005A09C6"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Expert Testimony Involving Coal Transportation Contracts.</w:t>
      </w:r>
      <w:r w:rsidR="004B1822" w:rsidRPr="00C8641A">
        <w:rPr>
          <w:rFonts w:asciiTheme="minorHAnsi" w:hAnsiTheme="minorHAnsi" w:cstheme="minorHAnsi"/>
          <w:color w:val="auto"/>
          <w:sz w:val="24"/>
          <w:szCs w:val="24"/>
        </w:rPr>
        <w:t xml:space="preserve"> </w:t>
      </w:r>
      <w:r w:rsidR="00F10B85" w:rsidRPr="00C8641A">
        <w:rPr>
          <w:rFonts w:asciiTheme="minorHAnsi" w:hAnsiTheme="minorHAnsi" w:cstheme="minorHAnsi"/>
          <w:color w:val="auto"/>
          <w:sz w:val="24"/>
          <w:szCs w:val="24"/>
        </w:rPr>
        <w:t>S</w:t>
      </w:r>
      <w:r w:rsidRPr="00C8641A">
        <w:rPr>
          <w:rFonts w:asciiTheme="minorHAnsi" w:hAnsiTheme="minorHAnsi" w:cstheme="minorHAnsi"/>
          <w:color w:val="auto"/>
          <w:sz w:val="24"/>
          <w:szCs w:val="24"/>
        </w:rPr>
        <w:t>upport</w:t>
      </w:r>
      <w:r w:rsidR="00F10B85" w:rsidRPr="00C8641A">
        <w:rPr>
          <w:rFonts w:asciiTheme="minorHAnsi" w:hAnsiTheme="minorHAnsi" w:cstheme="minorHAnsi"/>
          <w:color w:val="auto"/>
          <w:sz w:val="24"/>
          <w:szCs w:val="24"/>
        </w:rPr>
        <w:t>ed</w:t>
      </w:r>
      <w:r w:rsidRPr="00C8641A">
        <w:rPr>
          <w:rFonts w:asciiTheme="minorHAnsi" w:hAnsiTheme="minorHAnsi" w:cstheme="minorHAnsi"/>
          <w:color w:val="auto"/>
          <w:sz w:val="24"/>
          <w:szCs w:val="24"/>
        </w:rPr>
        <w:t xml:space="preserve"> expert testimony concerning the economics of rail transportation contracts for the transportation of coal in the face of multiple coal plant closures in the face of new regulatory environmental compliance obligations.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Economic analysis determined whether the closure of the affected units were caused by the new regulations or by unfavorable economics created by the availability of inexpensive natural gas.</w:t>
      </w:r>
    </w:p>
    <w:p w14:paraId="66D080D6" w14:textId="77777777" w:rsidR="00FB2AC7" w:rsidRPr="00C8641A" w:rsidRDefault="00FB2AC7" w:rsidP="00FB2AC7">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Evaluation of Applicability of Research Tax Credit.</w:t>
      </w:r>
      <w:r w:rsidRPr="00C8641A">
        <w:rPr>
          <w:rFonts w:asciiTheme="minorHAnsi" w:hAnsiTheme="minorHAnsi" w:cstheme="minorHAnsi"/>
          <w:color w:val="auto"/>
          <w:sz w:val="24"/>
          <w:szCs w:val="24"/>
        </w:rPr>
        <w:t xml:space="preserve"> Evaluated if contracts that involved specialized and unique research were “funded” in the context of I.R.C. § 41(d)(4)(H) and Treas. Reg. § 1.41-4A(d). Case required the evaluation of various contractual provisions to determine whether the risk of non-performance due to the research was borne by the buyer or seller of these contracts. Filed an expert report and furnished live testimony at a mediation session.</w:t>
      </w:r>
    </w:p>
    <w:p w14:paraId="7D10FEEE" w14:textId="4AB1797D" w:rsidR="005A09C6" w:rsidRPr="00C8641A" w:rsidRDefault="005A09C6"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Traders Seeking Payment of Contractual Bonuses.</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Provided direct and rebuttal reports in support of traders who sought recovery of unpaid bonuses withheld by their former employer. The bonuses were withheld based on traders’ settlements of manipulation charges alleged by the FERC, in which they neither admitted nor denied liability for the acts alleged.</w:t>
      </w:r>
      <w:r w:rsidR="004B1822" w:rsidRPr="00C8641A">
        <w:rPr>
          <w:rFonts w:asciiTheme="minorHAnsi" w:hAnsiTheme="minorHAnsi" w:cstheme="minorHAnsi"/>
          <w:color w:val="auto"/>
          <w:sz w:val="24"/>
          <w:szCs w:val="24"/>
        </w:rPr>
        <w:t xml:space="preserve"> </w:t>
      </w:r>
      <w:r w:rsidRPr="00C8641A">
        <w:rPr>
          <w:rFonts w:asciiTheme="minorHAnsi" w:hAnsiTheme="minorHAnsi" w:cstheme="minorHAnsi"/>
          <w:color w:val="auto"/>
          <w:sz w:val="24"/>
          <w:szCs w:val="24"/>
        </w:rPr>
        <w:t xml:space="preserve">Reports focused on the economic reasonableness of these settlements as rational, cost-minimizing choices given the high cost of defending against a FERC manipulation cases, refuting the employer’s assertions that the settlements were indicative of the traders’ guilt and thus provided a valid basis upon which the bonuses could be withheld. </w:t>
      </w:r>
    </w:p>
    <w:p w14:paraId="75CD8D13" w14:textId="10C589AD" w:rsidR="00EB5B18" w:rsidRPr="00C8641A" w:rsidRDefault="00EB5B18" w:rsidP="00147000">
      <w:pPr>
        <w:pStyle w:val="BulletedList"/>
        <w:numPr>
          <w:ilvl w:val="0"/>
          <w:numId w:val="40"/>
        </w:numPr>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Action for Fraudulent Distressed Asset Sales.</w:t>
      </w:r>
      <w:r w:rsidRPr="00C8641A">
        <w:rPr>
          <w:rFonts w:asciiTheme="minorHAnsi" w:hAnsiTheme="minorHAnsi" w:cstheme="minorHAnsi"/>
          <w:color w:val="auto"/>
          <w:sz w:val="24"/>
          <w:szCs w:val="24"/>
        </w:rPr>
        <w:t xml:space="preserve"> Assisted expert witnesses in preparing reports supporting the IRS in pursuing taxes owed for a fraudulent tax shelter involving the sale of a portfolio of distressed foreign assets. Assisted the preparation of rebuttal reports in response to testimonies of expert witnesses on behalf of the defense.</w:t>
      </w:r>
    </w:p>
    <w:p w14:paraId="5E54673F" w14:textId="73F8CA20" w:rsidR="00AD3D0D" w:rsidRPr="00C8641A" w:rsidRDefault="00D63FD1"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Calibri" w:hAnsi="Calibri" w:cs="Calibri"/>
          <w:b/>
          <w:color w:val="auto"/>
          <w:sz w:val="24"/>
          <w:szCs w:val="24"/>
        </w:rPr>
        <w:t xml:space="preserve">Retail Power Contract Analysis and Reconstruction. </w:t>
      </w:r>
      <w:r w:rsidRPr="00C8641A">
        <w:rPr>
          <w:rFonts w:ascii="Calibri" w:hAnsi="Calibri" w:cs="Calibri"/>
          <w:color w:val="auto"/>
          <w:sz w:val="24"/>
          <w:szCs w:val="24"/>
        </w:rPr>
        <w:t>This engagement involved the analysis of existing retail agreements between a public power supplier and industrial customers served under direct retail contracts. Reconstruction of contractual terms and conditions allowed a single contract to be used in all future agreements.</w:t>
      </w:r>
    </w:p>
    <w:p w14:paraId="29BEF7EB" w14:textId="2E787605" w:rsidR="007F7555" w:rsidRPr="00C8641A" w:rsidRDefault="007F7555"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Non-Payment under Utility System Lease.</w:t>
      </w:r>
      <w:r w:rsidRPr="00C8641A">
        <w:rPr>
          <w:rFonts w:asciiTheme="minorHAnsi" w:hAnsiTheme="minorHAnsi" w:cstheme="minorHAnsi"/>
          <w:color w:val="auto"/>
          <w:sz w:val="24"/>
          <w:szCs w:val="24"/>
        </w:rPr>
        <w:t xml:space="preserve"> Determined the value of historical payments owed under the terms of a valid lease for a distribution system owned by a development authority, wherein the last payments were made in 1994 and the basis for measuring those payments (a load-measuring meter) was removed that same year. Filled the time gap using known average monthly per-customer energy demand data and surrogate data for the number of customers served borrowed from city sewage accounts for the development authority’s region. An econometric analysis was then used to determine the stream of payments owed. Client received a settlement for all payments due under the lease.</w:t>
      </w:r>
    </w:p>
    <w:p w14:paraId="052912B3" w14:textId="2AA1CFD0" w:rsidR="00A02090" w:rsidRPr="00C8641A" w:rsidRDefault="00A02090"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Calibri" w:hAnsi="Calibri" w:cs="Calibri"/>
          <w:b/>
          <w:color w:val="auto"/>
          <w:sz w:val="24"/>
          <w:szCs w:val="24"/>
        </w:rPr>
        <w:t>Fines for Violations of Environmental Protection Agency Rules.</w:t>
      </w:r>
      <w:r w:rsidRPr="00C8641A">
        <w:rPr>
          <w:rFonts w:ascii="Calibri" w:hAnsi="Calibri" w:cs="Calibri"/>
          <w:color w:val="auto"/>
          <w:sz w:val="24"/>
          <w:szCs w:val="24"/>
        </w:rPr>
        <w:t xml:space="preserve"> In this engagement, the client was a defendant to an action by the Environmental Protection Agency seeking to levy fines for non-compliance with anti-pollution orders. The EPA’s complaint used the standard economic benefit model (BEN) to compute damages for economic savings from delaying or avoiding pollution control expenditures. However, the assumptions used in applying this model were erroneous. Used an updated model to demonstrate that the damages sought by the EPA were excessive, and furthermore that correction for errors in the model’s application would reduce the damages to a de minimus level.</w:t>
      </w:r>
    </w:p>
    <w:p w14:paraId="06411F16" w14:textId="77777777" w:rsidR="00FB2AC7" w:rsidRPr="00C8641A" w:rsidRDefault="00FB2AC7" w:rsidP="00FB2AC7">
      <w:pPr>
        <w:pStyle w:val="BulletedList"/>
        <w:numPr>
          <w:ilvl w:val="0"/>
          <w:numId w:val="40"/>
        </w:numPr>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 xml:space="preserve">Damages for Wrongful Termination. </w:t>
      </w:r>
      <w:r w:rsidRPr="00C8641A">
        <w:rPr>
          <w:rFonts w:asciiTheme="minorHAnsi" w:hAnsiTheme="minorHAnsi" w:cstheme="minorHAnsi"/>
          <w:color w:val="auto"/>
          <w:sz w:val="24"/>
          <w:szCs w:val="24"/>
        </w:rPr>
        <w:t>The defendant in this case was sued by a former employee claiming wrongful termination due to age-based discrimination. Used company and macroeconomic data to show the employee’s termination was based upon economically justifiable grounds. Additionally, performed an analysis to determine the damages owed had evidence of discrimination prevailed.</w:t>
      </w:r>
    </w:p>
    <w:p w14:paraId="7F8992B8" w14:textId="6966CEAC" w:rsidR="007F7555" w:rsidRPr="00C8641A" w:rsidRDefault="002B5266" w:rsidP="00147000">
      <w:pPr>
        <w:pStyle w:val="BulletedList"/>
        <w:numPr>
          <w:ilvl w:val="0"/>
          <w:numId w:val="40"/>
        </w:numPr>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lastRenderedPageBreak/>
        <w:t>Damages for Water Utility Condemnation.</w:t>
      </w:r>
      <w:r w:rsidRPr="00C8641A">
        <w:rPr>
          <w:rFonts w:asciiTheme="minorHAnsi" w:hAnsiTheme="minorHAnsi" w:cstheme="minorHAnsi"/>
          <w:color w:val="auto"/>
          <w:sz w:val="24"/>
          <w:szCs w:val="24"/>
        </w:rPr>
        <w:t xml:space="preserve"> Provided expert report regarding the monies owned for the condemnation of a water utility’s service territory by a municipality. The analysis included estimating damages for customers affected by the territorial exclusion, as well as future customers projected to be served. Damages were assessed based upon the incremental loss of revenues from those customer’s needed to support the debt load of the utility’s outstanding bond issues, future capital upgrades, and expansions and identifiable annualized fixed expenses.</w:t>
      </w:r>
    </w:p>
    <w:p w14:paraId="3A60602F" w14:textId="35F46319" w:rsidR="00EB5B18" w:rsidRPr="00C8641A" w:rsidRDefault="00EB5B18"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Analysis of Contractual Obligations of Capacity Contracts.</w:t>
      </w:r>
      <w:r w:rsidRPr="00C8641A">
        <w:rPr>
          <w:rFonts w:asciiTheme="minorHAnsi" w:hAnsiTheme="minorHAnsi" w:cstheme="minorHAnsi"/>
          <w:color w:val="auto"/>
          <w:sz w:val="24"/>
          <w:szCs w:val="24"/>
        </w:rPr>
        <w:t xml:space="preserve"> Evaluated </w:t>
      </w:r>
      <w:r w:rsidR="00D63FD1" w:rsidRPr="00C8641A">
        <w:rPr>
          <w:rFonts w:asciiTheme="minorHAnsi" w:hAnsiTheme="minorHAnsi" w:cstheme="minorHAnsi"/>
          <w:color w:val="auto"/>
          <w:sz w:val="24"/>
          <w:szCs w:val="24"/>
        </w:rPr>
        <w:t xml:space="preserve">contract chain </w:t>
      </w:r>
      <w:r w:rsidRPr="00C8641A">
        <w:rPr>
          <w:rFonts w:asciiTheme="minorHAnsi" w:hAnsiTheme="minorHAnsi" w:cstheme="minorHAnsi"/>
          <w:color w:val="auto"/>
          <w:sz w:val="24"/>
          <w:szCs w:val="24"/>
        </w:rPr>
        <w:t>related to capacity ownership of a power plant shared between a municipality and electric cooperative. Case involved issue of which party was entitled to the revenues from surplus energy sold available out of the plant given different definitions of excess capacity provided by different generations of the underlying contracts.</w:t>
      </w:r>
    </w:p>
    <w:p w14:paraId="1E56B1F5" w14:textId="07B08534" w:rsidR="00EB5B18" w:rsidRPr="00C8641A" w:rsidRDefault="00EB5B18"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Wrongful Termination.</w:t>
      </w:r>
      <w:r w:rsidRPr="00C8641A">
        <w:rPr>
          <w:rFonts w:asciiTheme="minorHAnsi" w:hAnsiTheme="minorHAnsi" w:cstheme="minorHAnsi"/>
          <w:color w:val="auto"/>
          <w:sz w:val="24"/>
          <w:szCs w:val="24"/>
        </w:rPr>
        <w:t xml:space="preserve"> Represented Xerox against a claim by a laid-off employee of gender-based discrimination in her termination. Used company-specific and macroeconomic data to demonstrate that the layoff was not gender-specific and that damages were inappropriate</w:t>
      </w:r>
      <w:r w:rsidR="003403C4" w:rsidRPr="00C8641A">
        <w:rPr>
          <w:rFonts w:asciiTheme="minorHAnsi" w:hAnsiTheme="minorHAnsi" w:cstheme="minorHAnsi"/>
          <w:color w:val="auto"/>
          <w:sz w:val="24"/>
          <w:szCs w:val="24"/>
        </w:rPr>
        <w:t>.</w:t>
      </w:r>
      <w:r w:rsidRPr="00C8641A">
        <w:rPr>
          <w:rFonts w:asciiTheme="minorHAnsi" w:hAnsiTheme="minorHAnsi" w:cstheme="minorHAnsi"/>
          <w:color w:val="auto"/>
          <w:sz w:val="24"/>
          <w:szCs w:val="24"/>
        </w:rPr>
        <w:t xml:space="preserve"> Case tried as </w:t>
      </w:r>
      <w:r w:rsidRPr="00C8641A">
        <w:rPr>
          <w:rFonts w:asciiTheme="minorHAnsi" w:hAnsiTheme="minorHAnsi" w:cstheme="minorHAnsi"/>
          <w:i/>
          <w:color w:val="auto"/>
          <w:sz w:val="24"/>
          <w:szCs w:val="24"/>
        </w:rPr>
        <w:t>Jane Johnson v. Xerox Corporation, Bill Collins, Rick Hall, Kerry Summers, Ja Ann Alderman, and Cathy Shuffield</w:t>
      </w:r>
      <w:r w:rsidRPr="00C8641A">
        <w:rPr>
          <w:rFonts w:asciiTheme="minorHAnsi" w:hAnsiTheme="minorHAnsi" w:cstheme="minorHAnsi"/>
          <w:color w:val="auto"/>
          <w:sz w:val="24"/>
          <w:szCs w:val="24"/>
        </w:rPr>
        <w:t>; Northern District of Okla</w:t>
      </w:r>
      <w:r w:rsidR="0009304B" w:rsidRPr="00C8641A">
        <w:rPr>
          <w:rFonts w:asciiTheme="minorHAnsi" w:hAnsiTheme="minorHAnsi" w:cstheme="minorHAnsi"/>
          <w:color w:val="auto"/>
          <w:sz w:val="24"/>
          <w:szCs w:val="24"/>
        </w:rPr>
        <w:t>homa; Case No. 02-CV-596 H (J).</w:t>
      </w:r>
    </w:p>
    <w:p w14:paraId="7EF5D765" w14:textId="77777777" w:rsidR="00EB5B18" w:rsidRPr="00C8641A" w:rsidRDefault="00EB5B18"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Wrongful Termination.</w:t>
      </w:r>
      <w:r w:rsidRPr="00C8641A">
        <w:rPr>
          <w:rFonts w:asciiTheme="minorHAnsi" w:hAnsiTheme="minorHAnsi" w:cstheme="minorHAnsi"/>
          <w:color w:val="auto"/>
          <w:sz w:val="24"/>
          <w:szCs w:val="24"/>
        </w:rPr>
        <w:t xml:space="preserve"> In a matter involving wages lost as a result of alleged disability-based discrimination and the termination of the employee at a local hospital, prepared expert testimony on behalf of the defendant regarding lost wages and the appropriateness of punitive damages.</w:t>
      </w:r>
    </w:p>
    <w:p w14:paraId="1FB95A7D" w14:textId="44553B6B" w:rsidR="00EB5B18" w:rsidRPr="00C8641A" w:rsidRDefault="00EB5B18"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Support of Action for Breach of Contract and Patent Infringement.</w:t>
      </w:r>
      <w:r w:rsidRPr="00C8641A">
        <w:rPr>
          <w:rFonts w:asciiTheme="minorHAnsi" w:hAnsiTheme="minorHAnsi" w:cstheme="minorHAnsi"/>
          <w:color w:val="auto"/>
          <w:sz w:val="24"/>
          <w:szCs w:val="24"/>
        </w:rPr>
        <w:t xml:space="preserve"> Assisted witness in preparing an expert report supporting plaintiff’s claims of contractual breach involving fuel oil testing technology subject to patent.</w:t>
      </w:r>
    </w:p>
    <w:p w14:paraId="143DA790" w14:textId="14D54D4B" w:rsidR="000A75FF" w:rsidRPr="00C8641A" w:rsidRDefault="000A75FF"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Wrongful Termination.</w:t>
      </w:r>
      <w:r w:rsidRPr="00C8641A">
        <w:rPr>
          <w:rFonts w:asciiTheme="minorHAnsi" w:hAnsiTheme="minorHAnsi" w:cstheme="minorHAnsi"/>
          <w:color w:val="auto"/>
          <w:sz w:val="24"/>
          <w:szCs w:val="24"/>
        </w:rPr>
        <w:t xml:space="preserve"> Statistical analyses were used to depict the presence of gender-based discrimination among group of faculty at a major university. Assisted another witness in preparing expert testimony for this purpose. </w:t>
      </w:r>
    </w:p>
    <w:p w14:paraId="2D6C76AF" w14:textId="1C520E5D" w:rsidR="00EB5B18" w:rsidRPr="00C8641A" w:rsidRDefault="000A75FF" w:rsidP="00147000">
      <w:pPr>
        <w:pStyle w:val="BulletedList"/>
        <w:numPr>
          <w:ilvl w:val="0"/>
          <w:numId w:val="40"/>
        </w:numPr>
        <w:spacing w:after="60"/>
        <w:ind w:left="990" w:right="0"/>
        <w:jc w:val="left"/>
        <w:rPr>
          <w:rFonts w:asciiTheme="minorHAnsi" w:hAnsiTheme="minorHAnsi" w:cstheme="minorHAnsi"/>
          <w:color w:val="auto"/>
          <w:sz w:val="24"/>
          <w:szCs w:val="24"/>
        </w:rPr>
      </w:pPr>
      <w:r w:rsidRPr="00C8641A">
        <w:rPr>
          <w:rFonts w:asciiTheme="minorHAnsi" w:hAnsiTheme="minorHAnsi" w:cstheme="minorHAnsi"/>
          <w:b/>
          <w:color w:val="auto"/>
          <w:sz w:val="24"/>
          <w:szCs w:val="24"/>
        </w:rPr>
        <w:t>Damages for Wrongful Death.</w:t>
      </w:r>
      <w:r w:rsidRPr="00C8641A">
        <w:rPr>
          <w:rFonts w:asciiTheme="minorHAnsi" w:hAnsiTheme="minorHAnsi" w:cstheme="minorHAnsi"/>
          <w:color w:val="auto"/>
          <w:sz w:val="24"/>
          <w:szCs w:val="24"/>
        </w:rPr>
        <w:t xml:space="preserve"> This case required a determination of the future earnings stream for a popular local television sportscaster killed in a plane crash. Used a discounted cash flow methodology to project the future earnings stream of the decedent and to provide a sensitivity analysis of that stream give various alternative assumptions.</w:t>
      </w:r>
    </w:p>
    <w:p w14:paraId="59672A8C" w14:textId="77777777" w:rsidR="00FB2AC7" w:rsidRDefault="00FB2AC7">
      <w:pPr>
        <w:rPr>
          <w:rFonts w:eastAsia="PMingLiU" w:cs="Times New Roman"/>
          <w:caps/>
          <w:color w:val="494F56" w:themeColor="background2"/>
          <w:spacing w:val="10"/>
          <w:szCs w:val="28"/>
          <w:lang w:eastAsia="en-US"/>
        </w:rPr>
      </w:pPr>
      <w:r>
        <w:br w:type="page"/>
      </w:r>
    </w:p>
    <w:p w14:paraId="02452FFC" w14:textId="4D4E8C3F" w:rsidR="00294DF3" w:rsidRPr="00501DBE" w:rsidRDefault="00CB1AB4" w:rsidP="00CB1AB4">
      <w:pPr>
        <w:pStyle w:val="Heading5"/>
      </w:pPr>
      <w:r>
        <w:lastRenderedPageBreak/>
        <w:t>ARTICLES &amp; PUBLICATIONS</w:t>
      </w:r>
    </w:p>
    <w:p w14:paraId="5E68605C" w14:textId="691A4029" w:rsidR="001A4B6B" w:rsidRDefault="001A4B6B" w:rsidP="00F016F4">
      <w:pPr>
        <w:pStyle w:val="ListParagraph"/>
        <w:numPr>
          <w:ilvl w:val="0"/>
          <w:numId w:val="48"/>
        </w:numPr>
        <w:ind w:left="450" w:hanging="270"/>
      </w:pPr>
      <w:r>
        <w:t>Working paper, “The Economics of Detecting, Deterring and Proving Market Manipulation,” with Dan Harris</w:t>
      </w:r>
    </w:p>
    <w:p w14:paraId="65459731" w14:textId="0BF212FC" w:rsidR="001A4B6B" w:rsidRDefault="001A4B6B" w:rsidP="00F016F4">
      <w:pPr>
        <w:pStyle w:val="ListParagraph"/>
        <w:numPr>
          <w:ilvl w:val="0"/>
          <w:numId w:val="49"/>
        </w:numPr>
        <w:ind w:left="450" w:hanging="270"/>
      </w:pPr>
      <w:r>
        <w:t>“</w:t>
      </w:r>
      <w:r w:rsidRPr="00E16707">
        <w:t>The Intersection of Market Manipulation Law and Monopolization under the Sherman Act: Does It Make Economic Sense?</w:t>
      </w:r>
      <w:r>
        <w:t>” with James Keyte, Jeremy Verlinda</w:t>
      </w:r>
      <w:r w:rsidR="00F82726">
        <w:t>,</w:t>
      </w:r>
      <w:r w:rsidRPr="00D252C3">
        <w:t xml:space="preserve"> </w:t>
      </w:r>
      <w:r>
        <w:t>and Guy Ben-Ishai</w:t>
      </w:r>
      <w:r w:rsidR="00F82726">
        <w:t>,</w:t>
      </w:r>
      <w:r>
        <w:t xml:space="preserve"> </w:t>
      </w:r>
      <w:r w:rsidRPr="00952046">
        <w:rPr>
          <w:i/>
        </w:rPr>
        <w:t>Energy Law Journal</w:t>
      </w:r>
      <w:r>
        <w:rPr>
          <w:i/>
        </w:rPr>
        <w:t>,</w:t>
      </w:r>
      <w:r w:rsidRPr="00952046">
        <w:rPr>
          <w:i/>
        </w:rPr>
        <w:t xml:space="preserve"> </w:t>
      </w:r>
      <w:r w:rsidRPr="005E2C50">
        <w:t xml:space="preserve">v. </w:t>
      </w:r>
      <w:r>
        <w:t>40</w:t>
      </w:r>
      <w:r w:rsidRPr="005E2C50">
        <w:t xml:space="preserve">, No. 1, pp. </w:t>
      </w:r>
      <w:r>
        <w:t>47</w:t>
      </w:r>
      <w:r w:rsidR="00F82726">
        <w:t>–</w:t>
      </w:r>
      <w:r>
        <w:t>86</w:t>
      </w:r>
      <w:r w:rsidR="00F82726">
        <w:t xml:space="preserve"> (</w:t>
      </w:r>
      <w:r>
        <w:t>May</w:t>
      </w:r>
      <w:r w:rsidRPr="005E2C50">
        <w:t xml:space="preserve"> 201</w:t>
      </w:r>
      <w:r>
        <w:t>9</w:t>
      </w:r>
      <w:r w:rsidR="00F82726">
        <w:t>)</w:t>
      </w:r>
    </w:p>
    <w:p w14:paraId="39C6109D" w14:textId="3D88D36D" w:rsidR="001A4B6B" w:rsidRDefault="001A4B6B" w:rsidP="00F016F4">
      <w:pPr>
        <w:pStyle w:val="ListParagraph"/>
        <w:numPr>
          <w:ilvl w:val="0"/>
          <w:numId w:val="49"/>
        </w:numPr>
        <w:ind w:left="450" w:hanging="270"/>
      </w:pPr>
      <w:r>
        <w:t>“</w:t>
      </w:r>
      <w:r w:rsidRPr="00F978CE">
        <w:t xml:space="preserve">Trade </w:t>
      </w:r>
      <w:r>
        <w:t>S</w:t>
      </w:r>
      <w:r w:rsidRPr="00F978CE">
        <w:t xml:space="preserve">urveillance </w:t>
      </w:r>
      <w:r>
        <w:t>S</w:t>
      </w:r>
      <w:r w:rsidRPr="00F978CE">
        <w:t xml:space="preserve">hould not </w:t>
      </w:r>
      <w:r>
        <w:t>D</w:t>
      </w:r>
      <w:r w:rsidRPr="00F978CE">
        <w:t xml:space="preserve">eter </w:t>
      </w:r>
      <w:r>
        <w:t>T</w:t>
      </w:r>
      <w:r w:rsidRPr="00F978CE">
        <w:t>raders</w:t>
      </w:r>
      <w:r>
        <w:t>,” with John Tsoukalis</w:t>
      </w:r>
      <w:r w:rsidR="00F82726">
        <w:t xml:space="preserve">, </w:t>
      </w:r>
      <w:r w:rsidRPr="00F978CE">
        <w:rPr>
          <w:i/>
        </w:rPr>
        <w:t>Risk.net</w:t>
      </w:r>
      <w:r w:rsidR="00F82726">
        <w:t xml:space="preserve"> (</w:t>
      </w:r>
      <w:r w:rsidR="00F82726" w:rsidRPr="00F978CE">
        <w:t xml:space="preserve">December </w:t>
      </w:r>
      <w:r w:rsidR="00F82726">
        <w:t>2017),</w:t>
      </w:r>
      <w:r>
        <w:t xml:space="preserve"> online article available at: </w:t>
      </w:r>
      <w:hyperlink r:id="rId12" w:history="1">
        <w:r w:rsidR="00F82726" w:rsidRPr="002628F6">
          <w:rPr>
            <w:rStyle w:val="Hyperlink"/>
          </w:rPr>
          <w:t>https://www.risk.net/comment/5376706/trade-surveillance-should-not-deter-traders</w:t>
        </w:r>
      </w:hyperlink>
      <w:r w:rsidR="00F82726">
        <w:t xml:space="preserve"> </w:t>
      </w:r>
    </w:p>
    <w:p w14:paraId="7E781A64" w14:textId="41950698" w:rsidR="001A4B6B" w:rsidRDefault="001A4B6B" w:rsidP="00F016F4">
      <w:pPr>
        <w:pStyle w:val="ListParagraph"/>
        <w:numPr>
          <w:ilvl w:val="0"/>
          <w:numId w:val="49"/>
        </w:numPr>
        <w:ind w:left="450" w:hanging="270"/>
      </w:pPr>
      <w:r>
        <w:t>“Derivatives’ Roles in Manipulation,” with Jeremy Verlinda</w:t>
      </w:r>
      <w:r w:rsidR="00F82726">
        <w:t>,</w:t>
      </w:r>
      <w:r>
        <w:t xml:space="preserve"> </w:t>
      </w:r>
      <w:r w:rsidRPr="00F978CE">
        <w:rPr>
          <w:i/>
        </w:rPr>
        <w:t>Futures and Derivatives Law Report</w:t>
      </w:r>
      <w:r>
        <w:t>, v. 37, issue 9, pp. 9</w:t>
      </w:r>
      <w:r w:rsidR="00F82726">
        <w:t>–</w:t>
      </w:r>
      <w:r>
        <w:t>13</w:t>
      </w:r>
      <w:r w:rsidR="00F82726">
        <w:t xml:space="preserve"> (October 2017)</w:t>
      </w:r>
    </w:p>
    <w:p w14:paraId="609979D8" w14:textId="5D13D59F" w:rsidR="001A4B6B" w:rsidRDefault="001A4B6B" w:rsidP="00F016F4">
      <w:pPr>
        <w:pStyle w:val="ListParagraph"/>
        <w:numPr>
          <w:ilvl w:val="0"/>
          <w:numId w:val="49"/>
        </w:numPr>
        <w:ind w:left="450" w:hanging="270"/>
      </w:pPr>
      <w:r>
        <w:t>“</w:t>
      </w:r>
      <w:r w:rsidRPr="002D46D6">
        <w:t>Market Manipulation in Energy-Related Markets</w:t>
      </w:r>
      <w:r>
        <w:t xml:space="preserve">,” with Jeremy Verlinda. </w:t>
      </w:r>
      <w:r w:rsidRPr="002D46D6">
        <w:rPr>
          <w:i/>
        </w:rPr>
        <w:t>Transportation, Energy and Infrastructure</w:t>
      </w:r>
      <w:r>
        <w:t xml:space="preserve">, </w:t>
      </w:r>
      <w:r w:rsidRPr="002D46D6">
        <w:t>ABA Section of Antitrust, pp</w:t>
      </w:r>
      <w:r>
        <w:t>. 10</w:t>
      </w:r>
      <w:r w:rsidR="00F82726">
        <w:t>–</w:t>
      </w:r>
      <w:r>
        <w:t>14</w:t>
      </w:r>
      <w:r w:rsidR="00F82726">
        <w:t xml:space="preserve"> (</w:t>
      </w:r>
      <w:r>
        <w:t>Summer 2017</w:t>
      </w:r>
      <w:r w:rsidR="00F82726">
        <w:t>)</w:t>
      </w:r>
    </w:p>
    <w:p w14:paraId="7AE435B2" w14:textId="4F32183E" w:rsidR="001A4B6B" w:rsidRDefault="001A4B6B" w:rsidP="00F016F4">
      <w:pPr>
        <w:pStyle w:val="ListParagraph"/>
        <w:numPr>
          <w:ilvl w:val="0"/>
          <w:numId w:val="49"/>
        </w:numPr>
        <w:ind w:left="450" w:hanging="270"/>
      </w:pPr>
      <w:r>
        <w:t>“</w:t>
      </w:r>
      <w:r w:rsidRPr="00862F48">
        <w:t>Building an Effective Trade Surveillance System: A Framework-Based Approach using Guidance from Two Recent FERC White Papers</w:t>
      </w:r>
      <w:r>
        <w:t>,” with John Tsoukalis</w:t>
      </w:r>
      <w:r w:rsidR="00F82726">
        <w:t>,</w:t>
      </w:r>
      <w:r w:rsidR="004B1822">
        <w:t xml:space="preserve"> </w:t>
      </w:r>
      <w:r w:rsidRPr="00F82726">
        <w:rPr>
          <w:i/>
        </w:rPr>
        <w:t>The Brattle Group</w:t>
      </w:r>
      <w:r>
        <w:t xml:space="preserve"> </w:t>
      </w:r>
      <w:r w:rsidR="00F82726">
        <w:t>(</w:t>
      </w:r>
      <w:r>
        <w:t>March 2017</w:t>
      </w:r>
      <w:r w:rsidR="00F82726">
        <w:t>)</w:t>
      </w:r>
    </w:p>
    <w:p w14:paraId="1FECF2E4" w14:textId="22E6498A" w:rsidR="001A4B6B" w:rsidRDefault="001A4B6B" w:rsidP="00F016F4">
      <w:pPr>
        <w:pStyle w:val="ListParagraph"/>
        <w:numPr>
          <w:ilvl w:val="0"/>
          <w:numId w:val="49"/>
        </w:numPr>
        <w:ind w:left="450" w:hanging="270"/>
      </w:pPr>
      <w:r>
        <w:t>“</w:t>
      </w:r>
      <w:r w:rsidRPr="00677C82">
        <w:t xml:space="preserve">Enron’s California </w:t>
      </w:r>
      <w:r>
        <w:t>S</w:t>
      </w:r>
      <w:r w:rsidRPr="00677C82">
        <w:t xml:space="preserve">chemes </w:t>
      </w:r>
      <w:r>
        <w:t>H</w:t>
      </w:r>
      <w:r w:rsidRPr="00677C82">
        <w:t xml:space="preserve">aunt </w:t>
      </w:r>
      <w:r>
        <w:t>R</w:t>
      </w:r>
      <w:r w:rsidRPr="00677C82">
        <w:t xml:space="preserve">egulators 15 </w:t>
      </w:r>
      <w:r>
        <w:t>Y</w:t>
      </w:r>
      <w:r w:rsidRPr="00677C82">
        <w:t xml:space="preserve">ears </w:t>
      </w:r>
      <w:r>
        <w:t>L</w:t>
      </w:r>
      <w:r w:rsidRPr="00677C82">
        <w:t>ater,</w:t>
      </w:r>
      <w:r>
        <w:t>”</w:t>
      </w:r>
      <w:r w:rsidRPr="00677C82">
        <w:t xml:space="preserve"> </w:t>
      </w:r>
      <w:r>
        <w:t>with Gary Taylor</w:t>
      </w:r>
      <w:r w:rsidR="00F82726">
        <w:t>,</w:t>
      </w:r>
      <w:r w:rsidRPr="00677C82">
        <w:t xml:space="preserve"> </w:t>
      </w:r>
      <w:r w:rsidRPr="00A677A6">
        <w:rPr>
          <w:i/>
        </w:rPr>
        <w:t>Energy Risk Magazine</w:t>
      </w:r>
      <w:r w:rsidR="00F82726">
        <w:t xml:space="preserve"> (</w:t>
      </w:r>
      <w:r>
        <w:t>January 2016</w:t>
      </w:r>
      <w:r w:rsidR="00F82726">
        <w:t>)</w:t>
      </w:r>
    </w:p>
    <w:p w14:paraId="602EC6CE" w14:textId="54B3EB2F" w:rsidR="001A4B6B" w:rsidRDefault="001A4B6B" w:rsidP="00F016F4">
      <w:pPr>
        <w:pStyle w:val="ListParagraph"/>
        <w:numPr>
          <w:ilvl w:val="0"/>
          <w:numId w:val="49"/>
        </w:numPr>
        <w:ind w:left="450" w:hanging="270"/>
      </w:pPr>
      <w:r>
        <w:t>“</w:t>
      </w:r>
      <w:r w:rsidR="00B353D7">
        <w:t>DC</w:t>
      </w:r>
      <w:r w:rsidRPr="00AB3B47">
        <w:t xml:space="preserve"> Circuit Clarifies That SEC Need Not Show Market Impact in Manipulation Cases</w:t>
      </w:r>
      <w:r>
        <w:t>,”</w:t>
      </w:r>
      <w:r w:rsidRPr="00AB3B47">
        <w:t xml:space="preserve"> </w:t>
      </w:r>
      <w:r w:rsidR="00F82726">
        <w:t>with</w:t>
      </w:r>
      <w:r>
        <w:t xml:space="preserve"> Paul Hinton</w:t>
      </w:r>
      <w:r w:rsidR="00F82726">
        <w:t>,</w:t>
      </w:r>
      <w:r w:rsidR="004B1822">
        <w:t xml:space="preserve"> </w:t>
      </w:r>
      <w:r w:rsidRPr="00B80E49">
        <w:rPr>
          <w:i/>
        </w:rPr>
        <w:t>ABA Securities</w:t>
      </w:r>
      <w:r w:rsidRPr="00677C82">
        <w:rPr>
          <w:i/>
        </w:rPr>
        <w:t xml:space="preserve"> Journal</w:t>
      </w:r>
      <w:r>
        <w:t xml:space="preserve"> </w:t>
      </w:r>
      <w:r w:rsidR="00F82726">
        <w:t>(</w:t>
      </w:r>
      <w:r>
        <w:t>December 2015</w:t>
      </w:r>
      <w:r w:rsidR="00F82726" w:rsidRPr="00F82726">
        <w:t>)</w:t>
      </w:r>
    </w:p>
    <w:p w14:paraId="7D8DAC97" w14:textId="08FA8228" w:rsidR="001A4B6B" w:rsidRDefault="001A4B6B" w:rsidP="00F016F4">
      <w:pPr>
        <w:pStyle w:val="ListParagraph"/>
        <w:numPr>
          <w:ilvl w:val="0"/>
          <w:numId w:val="49"/>
        </w:numPr>
        <w:ind w:left="450" w:hanging="270"/>
      </w:pPr>
      <w:r>
        <w:t xml:space="preserve">“Coscia Verdict Highlight Different Approaches to High-Frequency Trading,” </w:t>
      </w:r>
      <w:r w:rsidR="00F82726">
        <w:t>with</w:t>
      </w:r>
      <w:r>
        <w:t xml:space="preserve"> Paul Hinton</w:t>
      </w:r>
      <w:r w:rsidR="00F82726">
        <w:t>,</w:t>
      </w:r>
      <w:r>
        <w:t xml:space="preserve"> </w:t>
      </w:r>
      <w:r>
        <w:rPr>
          <w:i/>
        </w:rPr>
        <w:t>Practice Points</w:t>
      </w:r>
      <w:r>
        <w:t>, November 2015</w:t>
      </w:r>
      <w:r w:rsidR="00F82726" w:rsidRPr="00F82726">
        <w:t>)</w:t>
      </w:r>
    </w:p>
    <w:p w14:paraId="3F23224E" w14:textId="671153CB" w:rsidR="001A4B6B" w:rsidRDefault="001A4B6B" w:rsidP="00F016F4">
      <w:pPr>
        <w:pStyle w:val="ListParagraph"/>
        <w:numPr>
          <w:ilvl w:val="0"/>
          <w:numId w:val="49"/>
        </w:numPr>
        <w:ind w:left="450" w:hanging="270"/>
      </w:pPr>
      <w:r w:rsidRPr="00AB3B47">
        <w:t>Market Power and Market Manipulation in Energy Markets:</w:t>
      </w:r>
      <w:r w:rsidR="004B1822">
        <w:t xml:space="preserve"> </w:t>
      </w:r>
      <w:r w:rsidRPr="00AB3B47">
        <w:t>From the California Crisis to the Present</w:t>
      </w:r>
      <w:r w:rsidRPr="003E6F1C">
        <w:t xml:space="preserve">, </w:t>
      </w:r>
      <w:r w:rsidR="00F82726">
        <w:t>with</w:t>
      </w:r>
      <w:r w:rsidRPr="003E6F1C">
        <w:t xml:space="preserve"> G</w:t>
      </w:r>
      <w:r>
        <w:t>.</w:t>
      </w:r>
      <w:r w:rsidRPr="003E6F1C">
        <w:t xml:space="preserve"> Taylor, P</w:t>
      </w:r>
      <w:r>
        <w:t>.</w:t>
      </w:r>
      <w:r w:rsidRPr="003E6F1C">
        <w:t xml:space="preserve"> Fox-Penner</w:t>
      </w:r>
      <w:r w:rsidR="00F82726">
        <w:t>,</w:t>
      </w:r>
      <w:r w:rsidRPr="003E6F1C">
        <w:t xml:space="preserve"> and R</w:t>
      </w:r>
      <w:r>
        <w:t>.</w:t>
      </w:r>
      <w:r w:rsidRPr="003E6F1C">
        <w:t xml:space="preserve"> Broehm</w:t>
      </w:r>
      <w:r w:rsidR="00F82726">
        <w:t>,</w:t>
      </w:r>
      <w:r w:rsidRPr="003E6F1C">
        <w:t xml:space="preserve"> </w:t>
      </w:r>
      <w:r w:rsidRPr="00F82726">
        <w:rPr>
          <w:i/>
        </w:rPr>
        <w:t>PUR, Inc.</w:t>
      </w:r>
      <w:r w:rsidR="00F82726">
        <w:t xml:space="preserve"> (</w:t>
      </w:r>
      <w:r w:rsidRPr="003E6F1C">
        <w:t>May 2015</w:t>
      </w:r>
      <w:r w:rsidR="00F82726" w:rsidRPr="00F82726">
        <w:t>)</w:t>
      </w:r>
    </w:p>
    <w:p w14:paraId="41E7D125" w14:textId="1EC88C5B" w:rsidR="001A4B6B" w:rsidRDefault="001A4B6B" w:rsidP="00F016F4">
      <w:pPr>
        <w:pStyle w:val="ListParagraph"/>
        <w:numPr>
          <w:ilvl w:val="0"/>
          <w:numId w:val="49"/>
        </w:numPr>
        <w:ind w:left="450" w:hanging="270"/>
      </w:pPr>
      <w:r>
        <w:t>“The Chasm between ‘</w:t>
      </w:r>
      <w:r w:rsidRPr="00AD0674">
        <w:t>Following the Rules</w:t>
      </w:r>
      <w:r>
        <w:t>’</w:t>
      </w:r>
      <w:r w:rsidRPr="00AD0674">
        <w:t xml:space="preserve"> and Manipulation</w:t>
      </w:r>
      <w:r>
        <w:t xml:space="preserve">,” </w:t>
      </w:r>
      <w:r w:rsidRPr="00952046">
        <w:rPr>
          <w:i/>
        </w:rPr>
        <w:t>Energy Risk Magazine</w:t>
      </w:r>
      <w:r>
        <w:t xml:space="preserve">, </w:t>
      </w:r>
      <w:r w:rsidR="00F82726">
        <w:t>(</w:t>
      </w:r>
      <w:r>
        <w:t>February 2015</w:t>
      </w:r>
      <w:r w:rsidR="00F82726" w:rsidRPr="00F82726">
        <w:t>)</w:t>
      </w:r>
    </w:p>
    <w:p w14:paraId="754F44DE" w14:textId="02F36082" w:rsidR="001A4B6B" w:rsidRDefault="001A4B6B" w:rsidP="00F016F4">
      <w:pPr>
        <w:pStyle w:val="ListParagraph"/>
        <w:numPr>
          <w:ilvl w:val="0"/>
          <w:numId w:val="49"/>
        </w:numPr>
        <w:ind w:left="450" w:hanging="270"/>
      </w:pPr>
      <w:r>
        <w:t>“Market Manipulation Push is Widening the Compliance Gap,”</w:t>
      </w:r>
      <w:r w:rsidR="00F82726">
        <w:t xml:space="preserve"> with</w:t>
      </w:r>
      <w:r>
        <w:t xml:space="preserve"> John Tsoukalis</w:t>
      </w:r>
      <w:r w:rsidR="00F82726">
        <w:t>,</w:t>
      </w:r>
      <w:r>
        <w:t xml:space="preserve"> </w:t>
      </w:r>
      <w:r>
        <w:rPr>
          <w:i/>
        </w:rPr>
        <w:t xml:space="preserve">Risk.net, </w:t>
      </w:r>
      <w:r w:rsidR="00F82726">
        <w:t>(</w:t>
      </w:r>
      <w:r w:rsidRPr="00EF6BC2">
        <w:t>January 2015</w:t>
      </w:r>
      <w:r w:rsidR="00F82726" w:rsidRPr="00F82726">
        <w:t>)</w:t>
      </w:r>
    </w:p>
    <w:p w14:paraId="7D11DCF9" w14:textId="4EE7E73F" w:rsidR="001A4B6B" w:rsidRDefault="001A4B6B" w:rsidP="00F016F4">
      <w:pPr>
        <w:pStyle w:val="ListParagraph"/>
        <w:numPr>
          <w:ilvl w:val="0"/>
          <w:numId w:val="49"/>
        </w:numPr>
        <w:ind w:left="450" w:hanging="270"/>
      </w:pPr>
      <w:r>
        <w:t>“An Economic Evaluation of ‘Funding’ for</w:t>
      </w:r>
      <w:r w:rsidRPr="009E6D47">
        <w:t xml:space="preserve"> Research Tax Credit</w:t>
      </w:r>
      <w:r>
        <w:t>s,”</w:t>
      </w:r>
      <w:r w:rsidRPr="009E6D47">
        <w:t xml:space="preserve"> </w:t>
      </w:r>
      <w:r w:rsidR="00F82726">
        <w:t>with</w:t>
      </w:r>
      <w:r w:rsidRPr="0086708C">
        <w:t xml:space="preserve"> </w:t>
      </w:r>
      <w:r>
        <w:t>Darrell Chodorow</w:t>
      </w:r>
      <w:r w:rsidR="00F82726">
        <w:t>,</w:t>
      </w:r>
      <w:r w:rsidR="004B1822">
        <w:t xml:space="preserve"> </w:t>
      </w:r>
      <w:r w:rsidRPr="00304A26">
        <w:rPr>
          <w:i/>
        </w:rPr>
        <w:t>Tax Notes</w:t>
      </w:r>
      <w:r>
        <w:t>, v. 144, n. 13, pp. 1593</w:t>
      </w:r>
      <w:r w:rsidR="00F82726">
        <w:t>–</w:t>
      </w:r>
      <w:r>
        <w:t>1602</w:t>
      </w:r>
      <w:r w:rsidR="00F82726">
        <w:t xml:space="preserve"> (</w:t>
      </w:r>
      <w:r>
        <w:t>September 2014</w:t>
      </w:r>
      <w:r w:rsidR="00F82726" w:rsidRPr="00F82726">
        <w:t>)</w:t>
      </w:r>
    </w:p>
    <w:p w14:paraId="3157450D" w14:textId="0408AD53" w:rsidR="001A4B6B" w:rsidRDefault="001A4B6B" w:rsidP="00F016F4">
      <w:pPr>
        <w:pStyle w:val="ListParagraph"/>
        <w:numPr>
          <w:ilvl w:val="0"/>
          <w:numId w:val="49"/>
        </w:numPr>
        <w:ind w:left="450" w:hanging="270"/>
      </w:pPr>
      <w:r>
        <w:lastRenderedPageBreak/>
        <w:t>“</w:t>
      </w:r>
      <w:r w:rsidRPr="001D05C4">
        <w:t xml:space="preserve">How to </w:t>
      </w:r>
      <w:r>
        <w:t>T</w:t>
      </w:r>
      <w:r w:rsidRPr="001D05C4">
        <w:t xml:space="preserve">hink about </w:t>
      </w:r>
      <w:r>
        <w:t>M</w:t>
      </w:r>
      <w:r w:rsidRPr="001D05C4">
        <w:t xml:space="preserve">arket </w:t>
      </w:r>
      <w:r>
        <w:t>M</w:t>
      </w:r>
      <w:r w:rsidRPr="001D05C4">
        <w:t>anipulation</w:t>
      </w:r>
      <w:r>
        <w:t xml:space="preserve">,” </w:t>
      </w:r>
      <w:r w:rsidR="00F82726">
        <w:t>with</w:t>
      </w:r>
      <w:r>
        <w:t xml:space="preserve"> Mike Cragg</w:t>
      </w:r>
      <w:r w:rsidR="00F82726">
        <w:t>,</w:t>
      </w:r>
      <w:r>
        <w:t xml:space="preserve"> </w:t>
      </w:r>
      <w:r w:rsidRPr="001D05C4">
        <w:rPr>
          <w:i/>
        </w:rPr>
        <w:t>Financier Worldwide</w:t>
      </w:r>
      <w:r>
        <w:t xml:space="preserve"> </w:t>
      </w:r>
      <w:r w:rsidR="00F82726">
        <w:t>(</w:t>
      </w:r>
      <w:r>
        <w:t>May 2014</w:t>
      </w:r>
      <w:r w:rsidR="00F82726" w:rsidRPr="00F82726">
        <w:t>)</w:t>
      </w:r>
    </w:p>
    <w:p w14:paraId="49042631" w14:textId="6DB69FBE" w:rsidR="001A4B6B" w:rsidRDefault="001A4B6B" w:rsidP="00F016F4">
      <w:pPr>
        <w:pStyle w:val="ListParagraph"/>
        <w:numPr>
          <w:ilvl w:val="0"/>
          <w:numId w:val="49"/>
        </w:numPr>
        <w:ind w:left="450" w:hanging="270"/>
      </w:pPr>
      <w:r>
        <w:t>“</w:t>
      </w:r>
      <w:r w:rsidRPr="0086708C">
        <w:t>Using Virtual Bids to Manipulate the Value of Financial Transmission Rights</w:t>
      </w:r>
      <w:r>
        <w:t>,”</w:t>
      </w:r>
      <w:r w:rsidR="00F82726">
        <w:t xml:space="preserve"> with</w:t>
      </w:r>
      <w:r w:rsidRPr="0086708C">
        <w:t xml:space="preserve"> </w:t>
      </w:r>
      <w:r>
        <w:t>Joh</w:t>
      </w:r>
      <w:r w:rsidRPr="0086708C">
        <w:t>annes Pfeifenberger</w:t>
      </w:r>
      <w:r w:rsidR="00F82726">
        <w:t>,</w:t>
      </w:r>
      <w:r>
        <w:t xml:space="preserve"> </w:t>
      </w:r>
      <w:r w:rsidRPr="009E6D47">
        <w:rPr>
          <w:i/>
        </w:rPr>
        <w:t>The Electricity Journal</w:t>
      </w:r>
      <w:r>
        <w:t>, v. 26, issue 9, pp. 9</w:t>
      </w:r>
      <w:r w:rsidR="00F82726">
        <w:t>–</w:t>
      </w:r>
      <w:r>
        <w:t>25</w:t>
      </w:r>
      <w:r w:rsidR="00F82726">
        <w:t xml:space="preserve"> (</w:t>
      </w:r>
      <w:r>
        <w:t>November 2013</w:t>
      </w:r>
      <w:r w:rsidR="00F82726" w:rsidRPr="00F82726">
        <w:t>)</w:t>
      </w:r>
      <w:r w:rsidR="00F82726">
        <w:t xml:space="preserve"> (</w:t>
      </w:r>
      <w:r>
        <w:t>An earlier version is available at SSRN</w:t>
      </w:r>
      <w:r w:rsidR="00F82726">
        <w:t>)</w:t>
      </w:r>
    </w:p>
    <w:p w14:paraId="3F39F3A7" w14:textId="38C89B7E" w:rsidR="001A4B6B" w:rsidRDefault="001A4B6B" w:rsidP="00F016F4">
      <w:pPr>
        <w:pStyle w:val="ListParagraph"/>
        <w:numPr>
          <w:ilvl w:val="0"/>
          <w:numId w:val="49"/>
        </w:numPr>
        <w:ind w:left="450" w:hanging="270"/>
      </w:pPr>
      <w:r>
        <w:t>“Uneconomic Trading and Market Manipulation</w:t>
      </w:r>
      <w:r w:rsidRPr="00F82726">
        <w:t xml:space="preserve">,” </w:t>
      </w:r>
      <w:r w:rsidRPr="00952046">
        <w:rPr>
          <w:i/>
        </w:rPr>
        <w:t>Energy Risk Magazine</w:t>
      </w:r>
      <w:r>
        <w:t>, p. 32</w:t>
      </w:r>
      <w:r w:rsidR="00F82726">
        <w:t xml:space="preserve"> (</w:t>
      </w:r>
      <w:r>
        <w:t>July 2013</w:t>
      </w:r>
      <w:r w:rsidR="00F82726" w:rsidRPr="00F82726">
        <w:t>)</w:t>
      </w:r>
    </w:p>
    <w:p w14:paraId="2D451CF2" w14:textId="1FBD31FB" w:rsidR="001A4B6B" w:rsidRDefault="001A4B6B" w:rsidP="00F016F4">
      <w:pPr>
        <w:pStyle w:val="ListParagraph"/>
        <w:numPr>
          <w:ilvl w:val="0"/>
          <w:numId w:val="49"/>
        </w:numPr>
        <w:ind w:left="450" w:hanging="270"/>
      </w:pPr>
      <w:r>
        <w:t>“A Framework for the Analysis of Market Manipulation,”</w:t>
      </w:r>
      <w:r w:rsidR="00F82726">
        <w:t xml:space="preserve"> with</w:t>
      </w:r>
      <w:r w:rsidRPr="005E2C50">
        <w:t xml:space="preserve"> </w:t>
      </w:r>
      <w:r>
        <w:t>Paul Carpenter</w:t>
      </w:r>
      <w:r w:rsidR="00F82726">
        <w:t>,</w:t>
      </w:r>
      <w:r w:rsidRPr="005E2C50">
        <w:t xml:space="preserve"> </w:t>
      </w:r>
      <w:r w:rsidRPr="00565125">
        <w:rPr>
          <w:i/>
        </w:rPr>
        <w:t>Review of Law &amp; Economics,</w:t>
      </w:r>
      <w:r>
        <w:t xml:space="preserve"> v. 8(1), pp. 253–295</w:t>
      </w:r>
      <w:r w:rsidR="00F82726">
        <w:t xml:space="preserve"> (</w:t>
      </w:r>
      <w:r>
        <w:t>September 2012</w:t>
      </w:r>
      <w:r w:rsidR="00F82726" w:rsidRPr="00F82726">
        <w:t>)</w:t>
      </w:r>
      <w:r w:rsidR="004B1822">
        <w:t xml:space="preserve"> </w:t>
      </w:r>
      <w:r>
        <w:t>(An earlier version is available as “A Framework for Analyzing Market Manipulation” at SSRN)</w:t>
      </w:r>
    </w:p>
    <w:p w14:paraId="4F742A22" w14:textId="7D6FB849" w:rsidR="001A4B6B" w:rsidRDefault="001A4B6B" w:rsidP="00F016F4">
      <w:pPr>
        <w:pStyle w:val="ListParagraph"/>
        <w:numPr>
          <w:ilvl w:val="0"/>
          <w:numId w:val="49"/>
        </w:numPr>
        <w:ind w:left="450" w:hanging="270"/>
      </w:pPr>
      <w:r>
        <w:t>“Rummaging through the Bottom of Pandora’s Box: Funding Predatory Pricing through Contemporaneous Recoupment,”</w:t>
      </w:r>
      <w:r w:rsidR="00F82726">
        <w:t xml:space="preserve"> with</w:t>
      </w:r>
      <w:r>
        <w:t xml:space="preserve"> Wesley Heath</w:t>
      </w:r>
      <w:r w:rsidR="00F82726">
        <w:t>,</w:t>
      </w:r>
      <w:r>
        <w:t xml:space="preserve"> </w:t>
      </w:r>
      <w:r w:rsidRPr="00952046">
        <w:rPr>
          <w:i/>
        </w:rPr>
        <w:t>University of Virginia School of Law: Virginia Law and Business Review</w:t>
      </w:r>
      <w:r>
        <w:t>, v. 6, No. 3, pp. 509</w:t>
      </w:r>
      <w:r w:rsidR="00F82726">
        <w:t>–</w:t>
      </w:r>
      <w:r>
        <w:t>568</w:t>
      </w:r>
      <w:r w:rsidR="00F82726">
        <w:t xml:space="preserve"> (</w:t>
      </w:r>
      <w:r>
        <w:t>April 2012</w:t>
      </w:r>
      <w:r w:rsidR="00F82726" w:rsidRPr="00F82726">
        <w:t>)</w:t>
      </w:r>
      <w:r>
        <w:t xml:space="preserve"> (An earlier version is available at SSRN)</w:t>
      </w:r>
    </w:p>
    <w:p w14:paraId="3681395D" w14:textId="2EE8F023" w:rsidR="001A4B6B" w:rsidRDefault="001A4B6B" w:rsidP="00F016F4">
      <w:pPr>
        <w:pStyle w:val="ListParagraph"/>
        <w:numPr>
          <w:ilvl w:val="0"/>
          <w:numId w:val="49"/>
        </w:numPr>
        <w:ind w:left="450" w:hanging="270"/>
      </w:pPr>
      <w:r>
        <w:t>“</w:t>
      </w:r>
      <w:r w:rsidRPr="005E2C50">
        <w:t xml:space="preserve">A Comparison of Anti-Manipulation Rules in </w:t>
      </w:r>
      <w:r w:rsidR="00B353D7">
        <w:t>US</w:t>
      </w:r>
      <w:r w:rsidRPr="005E2C50">
        <w:t xml:space="preserve"> and EU Electricity and Natural Gas Markets: A Proposal for a Common Standa</w:t>
      </w:r>
      <w:r>
        <w:t>rd,”</w:t>
      </w:r>
      <w:r w:rsidR="00F82726">
        <w:t xml:space="preserve"> with</w:t>
      </w:r>
      <w:r>
        <w:t xml:space="preserve"> Dan Harris</w:t>
      </w:r>
      <w:r w:rsidR="00F82726">
        <w:t>,</w:t>
      </w:r>
      <w:r w:rsidRPr="005E2C50">
        <w:t xml:space="preserve"> </w:t>
      </w:r>
      <w:r w:rsidRPr="00952046">
        <w:rPr>
          <w:i/>
        </w:rPr>
        <w:t>Energy Law Journal</w:t>
      </w:r>
      <w:r>
        <w:rPr>
          <w:i/>
        </w:rPr>
        <w:t>,</w:t>
      </w:r>
      <w:r w:rsidRPr="00952046">
        <w:rPr>
          <w:i/>
        </w:rPr>
        <w:t xml:space="preserve"> </w:t>
      </w:r>
      <w:r w:rsidRPr="005E2C50">
        <w:t>v. 33, No. 1, pp. 1</w:t>
      </w:r>
      <w:r w:rsidR="00F82726">
        <w:t>–</w:t>
      </w:r>
      <w:r w:rsidRPr="005E2C50">
        <w:t>40, April 2012</w:t>
      </w:r>
      <w:r w:rsidR="00F82726" w:rsidRPr="00F82726">
        <w:t>)</w:t>
      </w:r>
      <w:r>
        <w:t xml:space="preserve"> (An earlie</w:t>
      </w:r>
      <w:r w:rsidR="00921505">
        <w:t>r version is available at SSRN)</w:t>
      </w:r>
    </w:p>
    <w:p w14:paraId="1682648D" w14:textId="5110BDFC" w:rsidR="001A4B6B" w:rsidRDefault="001A4B6B" w:rsidP="00F016F4">
      <w:pPr>
        <w:pStyle w:val="ListParagraph"/>
        <w:numPr>
          <w:ilvl w:val="0"/>
          <w:numId w:val="49"/>
        </w:numPr>
        <w:ind w:left="450" w:hanging="270"/>
      </w:pPr>
      <w:r>
        <w:t>“</w:t>
      </w:r>
      <w:r w:rsidRPr="005E2C50">
        <w:t>Completing the Puzzle: Defining Manipulation under REMIT,</w:t>
      </w:r>
      <w:r>
        <w:t>”</w:t>
      </w:r>
      <w:r w:rsidRPr="005E2C50">
        <w:t xml:space="preserve"> </w:t>
      </w:r>
      <w:r w:rsidR="00F82726">
        <w:t>with</w:t>
      </w:r>
      <w:r w:rsidRPr="005E2C50">
        <w:t xml:space="preserve"> Dan Harris</w:t>
      </w:r>
      <w:r w:rsidR="00F82726">
        <w:t>,</w:t>
      </w:r>
      <w:r w:rsidRPr="005E2C50">
        <w:t xml:space="preserve"> </w:t>
      </w:r>
      <w:r w:rsidRPr="00F82726">
        <w:rPr>
          <w:i/>
        </w:rPr>
        <w:t>The Brattle Group</w:t>
      </w:r>
      <w:r w:rsidR="00F82726">
        <w:t xml:space="preserve"> (</w:t>
      </w:r>
      <w:r w:rsidRPr="005E2C50">
        <w:t>January 2012</w:t>
      </w:r>
      <w:r w:rsidR="00F82726" w:rsidRPr="00F82726">
        <w:t>)</w:t>
      </w:r>
    </w:p>
    <w:p w14:paraId="23583ECE" w14:textId="06CFFABE" w:rsidR="001A4B6B" w:rsidRDefault="001A4B6B" w:rsidP="00F016F4">
      <w:pPr>
        <w:pStyle w:val="ListParagraph"/>
        <w:numPr>
          <w:ilvl w:val="0"/>
          <w:numId w:val="49"/>
        </w:numPr>
        <w:ind w:left="450" w:hanging="270"/>
      </w:pPr>
      <w:r>
        <w:t xml:space="preserve">“Market Manipulation in Wholesale Electricity Markets,” </w:t>
      </w:r>
      <w:r>
        <w:rPr>
          <w:i/>
        </w:rPr>
        <w:t>Energy Law Journal</w:t>
      </w:r>
      <w:r>
        <w:t xml:space="preserve">, v. 33, issue 1 </w:t>
      </w:r>
      <w:r w:rsidR="00F82726">
        <w:t>(</w:t>
      </w:r>
      <w:r>
        <w:t>Cyrillic translation</w:t>
      </w:r>
      <w:r w:rsidR="00F82726">
        <w:t>)</w:t>
      </w:r>
    </w:p>
    <w:p w14:paraId="0B6E268D" w14:textId="5B5F2F45" w:rsidR="001A4B6B" w:rsidRDefault="001A4B6B" w:rsidP="00F016F4">
      <w:pPr>
        <w:pStyle w:val="ListParagraph"/>
        <w:numPr>
          <w:ilvl w:val="0"/>
          <w:numId w:val="49"/>
        </w:numPr>
        <w:ind w:left="450" w:hanging="270"/>
      </w:pPr>
      <w:r>
        <w:t>“Triggers and Targets: The Anatomy of Market Manipulation</w:t>
      </w:r>
      <w:r w:rsidR="00F82726">
        <w:t>,</w:t>
      </w:r>
      <w:r>
        <w:t xml:space="preserve">” </w:t>
      </w:r>
      <w:r w:rsidR="00F82726">
        <w:t>a</w:t>
      </w:r>
      <w:r>
        <w:t>vailable on SSRN</w:t>
      </w:r>
      <w:r w:rsidR="00F82726">
        <w:t xml:space="preserve"> (</w:t>
      </w:r>
      <w:r>
        <w:t>July 2011</w:t>
      </w:r>
      <w:r w:rsidR="00921505">
        <w:t>)</w:t>
      </w:r>
    </w:p>
    <w:p w14:paraId="1BC9AE2A" w14:textId="254196EA" w:rsidR="001A4B6B" w:rsidRDefault="001A4B6B" w:rsidP="00F016F4">
      <w:pPr>
        <w:pStyle w:val="ListParagraph"/>
        <w:numPr>
          <w:ilvl w:val="0"/>
          <w:numId w:val="49"/>
        </w:numPr>
        <w:ind w:left="450" w:hanging="270"/>
      </w:pPr>
      <w:r>
        <w:t>“Market Manipulation without Market Power</w:t>
      </w:r>
      <w:r w:rsidR="00F82726">
        <w:t>,</w:t>
      </w:r>
      <w:r>
        <w:t xml:space="preserve">” </w:t>
      </w:r>
      <w:r w:rsidRPr="00952046">
        <w:rPr>
          <w:i/>
        </w:rPr>
        <w:t>Law360</w:t>
      </w:r>
      <w:r w:rsidR="00F82726">
        <w:t xml:space="preserve"> (</w:t>
      </w:r>
      <w:r>
        <w:t>June 2011</w:t>
      </w:r>
      <w:r w:rsidR="00F82726" w:rsidRPr="00F82726">
        <w:t>)</w:t>
      </w:r>
    </w:p>
    <w:p w14:paraId="232B4AEA" w14:textId="344CE86A" w:rsidR="001A4B6B" w:rsidRDefault="001A4B6B" w:rsidP="00F016F4">
      <w:pPr>
        <w:pStyle w:val="ListParagraph"/>
        <w:numPr>
          <w:ilvl w:val="0"/>
          <w:numId w:val="49"/>
        </w:numPr>
        <w:ind w:left="450" w:hanging="270"/>
      </w:pPr>
      <w:r>
        <w:t xml:space="preserve">“Defining Market Manipulation in a Post-REMIT World,” </w:t>
      </w:r>
      <w:r w:rsidR="00F82726">
        <w:t>with</w:t>
      </w:r>
      <w:r>
        <w:t xml:space="preserve"> Dan Harris, Bin Zhou</w:t>
      </w:r>
      <w:r w:rsidR="00F82726">
        <w:t>,</w:t>
      </w:r>
      <w:r>
        <w:t xml:space="preserve"> and Pinar Ba</w:t>
      </w:r>
      <w:r w:rsidR="00F82726">
        <w:t>g</w:t>
      </w:r>
      <w:r>
        <w:t>ci</w:t>
      </w:r>
      <w:r w:rsidR="00F82726">
        <w:t>,</w:t>
      </w:r>
      <w:r>
        <w:t xml:space="preserve"> </w:t>
      </w:r>
      <w:r w:rsidRPr="00F82726">
        <w:rPr>
          <w:i/>
        </w:rPr>
        <w:t>The Brattle Group</w:t>
      </w:r>
      <w:r w:rsidR="00F82726">
        <w:t xml:space="preserve"> (</w:t>
      </w:r>
      <w:r>
        <w:t>June</w:t>
      </w:r>
      <w:r w:rsidR="004B1822">
        <w:t xml:space="preserve"> </w:t>
      </w:r>
      <w:r>
        <w:t>2011</w:t>
      </w:r>
      <w:r w:rsidR="00F82726" w:rsidRPr="00F82726">
        <w:t>)</w:t>
      </w:r>
    </w:p>
    <w:p w14:paraId="4EE5BBB0" w14:textId="53EE3FB3" w:rsidR="001A4B6B" w:rsidRDefault="001A4B6B" w:rsidP="00F016F4">
      <w:pPr>
        <w:pStyle w:val="ListParagraph"/>
        <w:numPr>
          <w:ilvl w:val="0"/>
          <w:numId w:val="49"/>
        </w:numPr>
        <w:ind w:left="450" w:hanging="270"/>
      </w:pPr>
      <w:r>
        <w:t xml:space="preserve">“Protecting Market Integrity by Defining Market Manipulation,” </w:t>
      </w:r>
      <w:r w:rsidR="00F82726">
        <w:t>wit</w:t>
      </w:r>
      <w:r w:rsidR="00F82726" w:rsidRPr="00921505">
        <w:t>h</w:t>
      </w:r>
      <w:r w:rsidRPr="00921505">
        <w:t xml:space="preserve"> Dan Harris, Bin Zhou, and Pinar Bagci</w:t>
      </w:r>
      <w:r w:rsidR="00F82726" w:rsidRPr="00921505">
        <w:t xml:space="preserve">, </w:t>
      </w:r>
      <w:r w:rsidRPr="00921505">
        <w:rPr>
          <w:i/>
        </w:rPr>
        <w:t>The Brattle Group</w:t>
      </w:r>
      <w:r w:rsidRPr="00921505">
        <w:t xml:space="preserve"> </w:t>
      </w:r>
      <w:r w:rsidR="00F82726" w:rsidRPr="00921505">
        <w:t>(</w:t>
      </w:r>
      <w:r w:rsidRPr="00921505">
        <w:t>June 2011</w:t>
      </w:r>
      <w:r w:rsidR="00F82726" w:rsidRPr="00921505">
        <w:t>)</w:t>
      </w:r>
    </w:p>
    <w:p w14:paraId="5E5E301E" w14:textId="0F7823F9" w:rsidR="001A4B6B" w:rsidRDefault="001A4B6B" w:rsidP="00F016F4">
      <w:pPr>
        <w:pStyle w:val="ListParagraph"/>
        <w:numPr>
          <w:ilvl w:val="0"/>
          <w:numId w:val="49"/>
        </w:numPr>
        <w:ind w:left="450" w:hanging="270"/>
      </w:pPr>
      <w:r>
        <w:t xml:space="preserve">“Losing Money to </w:t>
      </w:r>
      <w:r w:rsidRPr="00921505">
        <w:t xml:space="preserve">Increase Profits: A Proposed Framework for Defining Market Manipulation,” </w:t>
      </w:r>
      <w:r w:rsidR="00F82726" w:rsidRPr="00921505">
        <w:t>with</w:t>
      </w:r>
      <w:r w:rsidRPr="00921505">
        <w:t xml:space="preserve"> G. Taylor, R. Broehm, and D. Arthur</w:t>
      </w:r>
      <w:r w:rsidR="00F82726" w:rsidRPr="00921505">
        <w:t>,</w:t>
      </w:r>
      <w:r w:rsidRPr="00921505">
        <w:t xml:space="preserve"> </w:t>
      </w:r>
      <w:r w:rsidRPr="00921505">
        <w:rPr>
          <w:i/>
        </w:rPr>
        <w:t>The Brattle</w:t>
      </w:r>
      <w:r w:rsidRPr="00F82726">
        <w:rPr>
          <w:i/>
        </w:rPr>
        <w:t xml:space="preserve"> Group</w:t>
      </w:r>
      <w:r w:rsidR="00F82726">
        <w:t xml:space="preserve"> (</w:t>
      </w:r>
      <w:r>
        <w:t>March 2011</w:t>
      </w:r>
      <w:r w:rsidR="00F82726" w:rsidRPr="00F82726">
        <w:t>)</w:t>
      </w:r>
    </w:p>
    <w:p w14:paraId="5E68DF4A" w14:textId="3E785B0B" w:rsidR="001A4B6B" w:rsidRDefault="001A4B6B" w:rsidP="00F016F4">
      <w:pPr>
        <w:pStyle w:val="ListParagraph"/>
        <w:numPr>
          <w:ilvl w:val="0"/>
          <w:numId w:val="49"/>
        </w:numPr>
        <w:ind w:left="450" w:hanging="270"/>
      </w:pPr>
      <w:r>
        <w:t>“Screens for the Detection of Manipulative Intent</w:t>
      </w:r>
      <w:r w:rsidR="00D74CCF">
        <w:t>,</w:t>
      </w:r>
      <w:r>
        <w:t xml:space="preserve">” </w:t>
      </w:r>
      <w:r w:rsidR="00D74CCF">
        <w:t>a</w:t>
      </w:r>
      <w:r>
        <w:t>vailable at SSRN</w:t>
      </w:r>
      <w:r w:rsidR="00F82726">
        <w:t xml:space="preserve"> (</w:t>
      </w:r>
      <w:r>
        <w:t>December 2010</w:t>
      </w:r>
      <w:r w:rsidR="00F82726" w:rsidRPr="00F82726">
        <w:t>)</w:t>
      </w:r>
    </w:p>
    <w:p w14:paraId="784B0567" w14:textId="61A648AC" w:rsidR="001A4B6B" w:rsidRDefault="001A4B6B" w:rsidP="00F016F4">
      <w:pPr>
        <w:pStyle w:val="ListParagraph"/>
        <w:numPr>
          <w:ilvl w:val="0"/>
          <w:numId w:val="49"/>
        </w:numPr>
        <w:ind w:left="450" w:hanging="270"/>
      </w:pPr>
      <w:r>
        <w:lastRenderedPageBreak/>
        <w:t>Editor, “2008 State of the Markets Report” and contributing author to Section 6: Natural Gas Capacity Release and Electricity Transmission Reassignment, Division of Energy Market Oversight, Office of Enforcement, Federal Energy Regulatory Commission</w:t>
      </w:r>
      <w:r w:rsidR="00F82726">
        <w:t xml:space="preserve"> (</w:t>
      </w:r>
      <w:r>
        <w:t>August 2009</w:t>
      </w:r>
      <w:r w:rsidR="00F82726" w:rsidRPr="00F82726">
        <w:t>)</w:t>
      </w:r>
    </w:p>
    <w:p w14:paraId="711B335B" w14:textId="0676BFDF" w:rsidR="001A4B6B" w:rsidRPr="00BD6845" w:rsidRDefault="001A4B6B" w:rsidP="00F016F4">
      <w:pPr>
        <w:pStyle w:val="ListParagraph"/>
        <w:numPr>
          <w:ilvl w:val="0"/>
          <w:numId w:val="49"/>
        </w:numPr>
        <w:ind w:left="450" w:hanging="270"/>
      </w:pPr>
      <w:r>
        <w:t>“Deregulated Electric Markets a ‘Target Rich’ Area for Antitrust Litigation</w:t>
      </w:r>
      <w:r w:rsidR="00D74CCF">
        <w:t>,</w:t>
      </w:r>
      <w:r>
        <w:t xml:space="preserve">” </w:t>
      </w:r>
      <w:r w:rsidRPr="00952046">
        <w:rPr>
          <w:i/>
        </w:rPr>
        <w:t>The Competitive Edge</w:t>
      </w:r>
      <w:r>
        <w:t xml:space="preserve">, Vol. 1, No. 1, </w:t>
      </w:r>
      <w:r w:rsidRPr="00BD6845">
        <w:t xml:space="preserve">C. H. Guernsey &amp; Company </w:t>
      </w:r>
      <w:r w:rsidR="00F82726">
        <w:t>(</w:t>
      </w:r>
      <w:r w:rsidRPr="00BD6845">
        <w:t>February 1999</w:t>
      </w:r>
      <w:r w:rsidR="00F82726" w:rsidRPr="00F82726">
        <w:t>)</w:t>
      </w:r>
    </w:p>
    <w:p w14:paraId="228C19CD" w14:textId="6339E311" w:rsidR="001A4B6B" w:rsidRPr="001A4B6B" w:rsidRDefault="001A4B6B" w:rsidP="00F016F4">
      <w:pPr>
        <w:pStyle w:val="ListParagraph"/>
        <w:numPr>
          <w:ilvl w:val="0"/>
          <w:numId w:val="49"/>
        </w:numPr>
        <w:ind w:left="450" w:hanging="270"/>
      </w:pPr>
      <w:r>
        <w:t>“</w:t>
      </w:r>
      <w:r w:rsidRPr="00BD6845">
        <w:t>An Economic Model of Illegal Profit Deterrence and Corporate Punitive Damages,</w:t>
      </w:r>
      <w:r>
        <w:t>”</w:t>
      </w:r>
      <w:r w:rsidRPr="00BD6845">
        <w:t xml:space="preserve"> </w:t>
      </w:r>
      <w:r w:rsidR="00D74CCF">
        <w:t>with</w:t>
      </w:r>
      <w:r w:rsidRPr="00BD6845">
        <w:t xml:space="preserve"> William Clark and David Huettner, 9 </w:t>
      </w:r>
      <w:r w:rsidRPr="00BD6845">
        <w:rPr>
          <w:i/>
        </w:rPr>
        <w:t>J. Forensic Economics</w:t>
      </w:r>
      <w:r w:rsidRPr="00BD6845">
        <w:t xml:space="preserve"> 325</w:t>
      </w:r>
      <w:r w:rsidR="00F82726">
        <w:t xml:space="preserve"> (</w:t>
      </w:r>
      <w:r w:rsidRPr="00BD6845">
        <w:t>Fall 1996</w:t>
      </w:r>
      <w:r w:rsidR="00F82726" w:rsidRPr="00F82726">
        <w:t>)</w:t>
      </w:r>
    </w:p>
    <w:p w14:paraId="60134B57" w14:textId="26A75806" w:rsidR="00294DF3" w:rsidRPr="00501DBE" w:rsidRDefault="00CB1AB4" w:rsidP="00CB1AB4">
      <w:pPr>
        <w:pStyle w:val="Heading5"/>
      </w:pPr>
      <w:r>
        <w:t>PRESENTATIONS &amp; SPEAKING ENGAG</w:t>
      </w:r>
      <w:r w:rsidR="00381B38">
        <w:t>e</w:t>
      </w:r>
      <w:r>
        <w:t>MENTS</w:t>
      </w:r>
    </w:p>
    <w:p w14:paraId="77810D4D" w14:textId="60669403" w:rsidR="00C77B19" w:rsidRDefault="00C77B19" w:rsidP="00F016F4">
      <w:pPr>
        <w:pStyle w:val="ListParagraph"/>
        <w:numPr>
          <w:ilvl w:val="0"/>
          <w:numId w:val="50"/>
        </w:numPr>
        <w:ind w:left="450" w:hanging="270"/>
      </w:pPr>
      <w:r>
        <w:t>Panelist, “</w:t>
      </w:r>
      <w:r w:rsidRPr="00C77B19">
        <w:t>FERC Enforcement and Regulatory Developments</w:t>
      </w:r>
      <w:r w:rsidR="005801F5">
        <w:t xml:space="preserve">.” Presented at </w:t>
      </w:r>
      <w:r w:rsidR="005801F5" w:rsidRPr="005801F5">
        <w:rPr>
          <w:i/>
        </w:rPr>
        <w:t>FIA Forum: Commodities 2022</w:t>
      </w:r>
      <w:r w:rsidR="005801F5">
        <w:t xml:space="preserve"> (Houston, TX), June 2022</w:t>
      </w:r>
    </w:p>
    <w:p w14:paraId="1C5B6729" w14:textId="4F7C0BC5" w:rsidR="001A4B6B" w:rsidRPr="001A4B6B" w:rsidRDefault="001A4B6B" w:rsidP="00F016F4">
      <w:pPr>
        <w:pStyle w:val="ListParagraph"/>
        <w:numPr>
          <w:ilvl w:val="0"/>
          <w:numId w:val="50"/>
        </w:numPr>
        <w:ind w:left="450" w:hanging="270"/>
      </w:pPr>
      <w:r w:rsidRPr="001A4B6B">
        <w:t xml:space="preserve">Panelist, “New Directions in FERC Policy Enforcement and Compliance.” Presented at </w:t>
      </w:r>
      <w:r w:rsidRPr="001A4B6B">
        <w:rPr>
          <w:i/>
        </w:rPr>
        <w:t>S&amp;P Global/Platts 14th Annual Nodal Trader Conference</w:t>
      </w:r>
      <w:r w:rsidRPr="001A4B6B">
        <w:t xml:space="preserve"> (New York, NY), October 2021</w:t>
      </w:r>
    </w:p>
    <w:p w14:paraId="79914E02" w14:textId="64DC526A" w:rsidR="001A4B6B" w:rsidRPr="00C8641A" w:rsidRDefault="001A4B6B" w:rsidP="00F016F4">
      <w:pPr>
        <w:pStyle w:val="ListParagraph"/>
        <w:numPr>
          <w:ilvl w:val="0"/>
          <w:numId w:val="50"/>
        </w:numPr>
        <w:ind w:left="450" w:hanging="270"/>
      </w:pPr>
      <w:r w:rsidRPr="00C8641A">
        <w:t>Panelist, “FERC Enforcement: Recent Developments &amp; What Lies Ahead in a New Administration,” Energy Bar Association (webinar), June 2021</w:t>
      </w:r>
    </w:p>
    <w:p w14:paraId="566A9E52" w14:textId="7352A224" w:rsidR="001A4B6B" w:rsidRPr="00C8641A" w:rsidRDefault="001A4B6B" w:rsidP="00F016F4">
      <w:pPr>
        <w:pStyle w:val="ListParagraph"/>
        <w:numPr>
          <w:ilvl w:val="0"/>
          <w:numId w:val="50"/>
        </w:numPr>
        <w:ind w:left="450" w:hanging="270"/>
      </w:pPr>
      <w:r w:rsidRPr="00C8641A">
        <w:t xml:space="preserve">Panelist, “Surveillance,” Futures Industry’s Association </w:t>
      </w:r>
      <w:r w:rsidRPr="00C8641A">
        <w:rPr>
          <w:i/>
        </w:rPr>
        <w:t>Law &amp; Compliance Division Conference</w:t>
      </w:r>
      <w:r w:rsidRPr="00C8641A">
        <w:t xml:space="preserve"> (webinar), October 2020</w:t>
      </w:r>
    </w:p>
    <w:p w14:paraId="53488E1F" w14:textId="44234606" w:rsidR="001A4B6B" w:rsidRPr="00C8641A" w:rsidRDefault="001A4B6B" w:rsidP="00F016F4">
      <w:pPr>
        <w:pStyle w:val="ListParagraph"/>
        <w:numPr>
          <w:ilvl w:val="0"/>
          <w:numId w:val="50"/>
        </w:numPr>
        <w:ind w:left="450" w:hanging="270"/>
      </w:pPr>
      <w:r w:rsidRPr="00C8641A">
        <w:t xml:space="preserve">Panelist, “Trading on Misappropriated Information: Enforcement Risks and Mitigation Strategies,” Chicago Bar Association </w:t>
      </w:r>
      <w:r w:rsidRPr="00C8641A">
        <w:rPr>
          <w:i/>
        </w:rPr>
        <w:t>Futures &amp; Derivatives Conference</w:t>
      </w:r>
      <w:r w:rsidRPr="00C8641A">
        <w:t xml:space="preserve"> (webinar), June 2020</w:t>
      </w:r>
    </w:p>
    <w:p w14:paraId="21812F67" w14:textId="18423344" w:rsidR="001A4B6B" w:rsidRPr="00C8641A" w:rsidRDefault="001A4B6B" w:rsidP="00F016F4">
      <w:pPr>
        <w:pStyle w:val="ListParagraph"/>
        <w:numPr>
          <w:ilvl w:val="0"/>
          <w:numId w:val="50"/>
        </w:numPr>
        <w:ind w:left="450" w:hanging="270"/>
      </w:pPr>
      <w:r w:rsidRPr="00C8641A">
        <w:t xml:space="preserve">Moderator, “FTR Regulatory Update: The Compliance Implications of Past and Proposed Changes to the FTR Markets,” </w:t>
      </w:r>
      <w:r w:rsidRPr="00C8641A">
        <w:rPr>
          <w:i/>
        </w:rPr>
        <w:t xml:space="preserve">EUCI Conference on Financial Transmission, Congestion and Auction Revenue Rights </w:t>
      </w:r>
      <w:r w:rsidRPr="00C8641A">
        <w:t>(Washington, DC), January 2020</w:t>
      </w:r>
    </w:p>
    <w:p w14:paraId="74044AB9" w14:textId="3EB57E70" w:rsidR="001A4B6B" w:rsidRPr="00C8641A" w:rsidRDefault="001A4B6B" w:rsidP="00F016F4">
      <w:pPr>
        <w:pStyle w:val="ListParagraph"/>
        <w:numPr>
          <w:ilvl w:val="0"/>
          <w:numId w:val="50"/>
        </w:numPr>
        <w:ind w:left="450" w:hanging="270"/>
      </w:pPr>
      <w:r w:rsidRPr="00C8641A">
        <w:t>Presenter, “DRW As Explained through the Manipulation Framework,” presented to Montréal Exchange, IIROC and Autorité des marchés financiers (Montreal, Quebec), July 2019</w:t>
      </w:r>
    </w:p>
    <w:p w14:paraId="63B37FE9" w14:textId="53C05425" w:rsidR="001A4B6B" w:rsidRPr="00C8641A" w:rsidRDefault="001A4B6B" w:rsidP="00F016F4">
      <w:pPr>
        <w:pStyle w:val="ListParagraph"/>
        <w:numPr>
          <w:ilvl w:val="0"/>
          <w:numId w:val="50"/>
        </w:numPr>
        <w:ind w:left="450" w:hanging="270"/>
      </w:pPr>
      <w:r w:rsidRPr="00C8641A">
        <w:t>Moderator, “FERC, CFTC and Private Compliance, Surveillance and Enforcement Update,” EUCI Financial Transmission, Congestion and Auction Revenue Rights Conference (Baltimore, MD), January 2019</w:t>
      </w:r>
    </w:p>
    <w:p w14:paraId="783EEC47" w14:textId="19FAC79D" w:rsidR="001A4B6B" w:rsidRPr="00C8641A" w:rsidRDefault="001A4B6B" w:rsidP="00F016F4">
      <w:pPr>
        <w:pStyle w:val="ListParagraph"/>
        <w:numPr>
          <w:ilvl w:val="0"/>
          <w:numId w:val="50"/>
        </w:numPr>
        <w:ind w:left="450" w:hanging="270"/>
      </w:pPr>
      <w:r w:rsidRPr="00C8641A">
        <w:t>Panelist, “</w:t>
      </w:r>
      <w:r w:rsidRPr="00C8641A">
        <w:rPr>
          <w:bCs/>
        </w:rPr>
        <w:t>Market Manipulation: A New Era in FERC Enforcement? Lessons Learned from Recent Cases.”</w:t>
      </w:r>
      <w:r w:rsidR="004B1822" w:rsidRPr="00C8641A">
        <w:rPr>
          <w:bCs/>
        </w:rPr>
        <w:t xml:space="preserve"> </w:t>
      </w:r>
      <w:r w:rsidRPr="00C8641A">
        <w:rPr>
          <w:bCs/>
        </w:rPr>
        <w:t xml:space="preserve">Presented at </w:t>
      </w:r>
      <w:r w:rsidRPr="00C8641A">
        <w:rPr>
          <w:i/>
        </w:rPr>
        <w:t>S&amp;P Global/Platts 11th Annual Nodal Trader Conference</w:t>
      </w:r>
      <w:r w:rsidRPr="00C8641A">
        <w:t xml:space="preserve"> (New York, NY), October 2018</w:t>
      </w:r>
    </w:p>
    <w:p w14:paraId="20FB4972" w14:textId="44C88716" w:rsidR="001A4B6B" w:rsidRPr="00C8641A" w:rsidRDefault="001A4B6B" w:rsidP="00F016F4">
      <w:pPr>
        <w:pStyle w:val="ListParagraph"/>
        <w:numPr>
          <w:ilvl w:val="0"/>
          <w:numId w:val="50"/>
        </w:numPr>
        <w:ind w:left="450" w:hanging="270"/>
      </w:pPr>
      <w:r w:rsidRPr="00C8641A">
        <w:lastRenderedPageBreak/>
        <w:t xml:space="preserve">Presenter, “How to Detect for Potential Market Manipulation.” Presented at </w:t>
      </w:r>
      <w:r w:rsidRPr="00C8641A">
        <w:rPr>
          <w:i/>
        </w:rPr>
        <w:t>Trade Surveillance &amp; Market Compliance for Energy Trading Organizations</w:t>
      </w:r>
      <w:r w:rsidRPr="00C8641A">
        <w:t>, a training conference hosted by Risk.net (Houston, TX), February 2018</w:t>
      </w:r>
    </w:p>
    <w:p w14:paraId="633D5262" w14:textId="5BF3218B" w:rsidR="001A4B6B" w:rsidRPr="00C8641A" w:rsidRDefault="001A4B6B" w:rsidP="00F016F4">
      <w:pPr>
        <w:pStyle w:val="ListParagraph"/>
        <w:numPr>
          <w:ilvl w:val="0"/>
          <w:numId w:val="50"/>
        </w:numPr>
        <w:ind w:left="450" w:hanging="270"/>
      </w:pPr>
      <w:r w:rsidRPr="00C8641A">
        <w:t xml:space="preserve">Moderator, “FERC, CFTC and Private Enforcement Update.” </w:t>
      </w:r>
      <w:r w:rsidRPr="00C8641A">
        <w:rPr>
          <w:i/>
        </w:rPr>
        <w:t>EUCI Conference on Financial Transmission and Auction Revenue Rights</w:t>
      </w:r>
      <w:r w:rsidRPr="00C8641A">
        <w:t xml:space="preserve"> (Washington, DC), January 2018</w:t>
      </w:r>
    </w:p>
    <w:p w14:paraId="428E6DBE" w14:textId="0ED4FA68" w:rsidR="001A4B6B" w:rsidRPr="00C8641A" w:rsidRDefault="001A4B6B" w:rsidP="00F016F4">
      <w:pPr>
        <w:pStyle w:val="ListParagraph"/>
        <w:numPr>
          <w:ilvl w:val="0"/>
          <w:numId w:val="50"/>
        </w:numPr>
        <w:ind w:left="450" w:hanging="270"/>
      </w:pPr>
      <w:r w:rsidRPr="00C8641A">
        <w:t xml:space="preserve">Panelist, “A New Administration at FERC—What Will Their Views Be on Market Manipulation and Compliance?” Presented at </w:t>
      </w:r>
      <w:r w:rsidRPr="00C8641A">
        <w:rPr>
          <w:i/>
        </w:rPr>
        <w:t>S&amp;P Global/Platts 10th Annual Nodal Trader Conference</w:t>
      </w:r>
      <w:r w:rsidRPr="00C8641A">
        <w:t xml:space="preserve"> (New York, NY), October 2017</w:t>
      </w:r>
    </w:p>
    <w:p w14:paraId="6D14DA54" w14:textId="1B97205B" w:rsidR="001A4B6B" w:rsidRPr="00C8641A" w:rsidRDefault="001A4B6B" w:rsidP="00F016F4">
      <w:pPr>
        <w:pStyle w:val="ListParagraph"/>
        <w:numPr>
          <w:ilvl w:val="0"/>
          <w:numId w:val="50"/>
        </w:numPr>
        <w:ind w:left="450" w:hanging="270"/>
      </w:pPr>
      <w:r w:rsidRPr="00C8641A">
        <w:t xml:space="preserve">Trainer, “A Framework-Based Approach to Trade Surveillance.” Presented at </w:t>
      </w:r>
      <w:r w:rsidRPr="00C8641A">
        <w:rPr>
          <w:i/>
        </w:rPr>
        <w:t>Trade Surveillance &amp; Market Compliance for Energy Trading Organizations</w:t>
      </w:r>
      <w:r w:rsidRPr="00C8641A">
        <w:t>, a training conference hosted by Risk.net (Houston, TX), October 2017</w:t>
      </w:r>
    </w:p>
    <w:p w14:paraId="5408AD38" w14:textId="0FC0FBDC" w:rsidR="001A4B6B" w:rsidRPr="00C8641A" w:rsidRDefault="001A4B6B" w:rsidP="00F016F4">
      <w:pPr>
        <w:pStyle w:val="ListParagraph"/>
        <w:numPr>
          <w:ilvl w:val="0"/>
          <w:numId w:val="50"/>
        </w:numPr>
        <w:ind w:left="450" w:hanging="270"/>
      </w:pPr>
      <w:r w:rsidRPr="00C8641A">
        <w:t xml:space="preserve">Panelist, “Market Manipulation: When Is It an Antitrust Issue?” Hosted by the </w:t>
      </w:r>
      <w:r w:rsidRPr="00C8641A">
        <w:rPr>
          <w:i/>
        </w:rPr>
        <w:t>ABA Section of Antitrust Law, Transportation and Energy Industries Committee</w:t>
      </w:r>
      <w:r w:rsidRPr="00C8641A">
        <w:t>, July 2017</w:t>
      </w:r>
    </w:p>
    <w:p w14:paraId="6BEA1BFA" w14:textId="798ACE42" w:rsidR="001A4B6B" w:rsidRPr="00C8641A" w:rsidRDefault="001A4B6B" w:rsidP="00F016F4">
      <w:pPr>
        <w:pStyle w:val="ListParagraph"/>
        <w:numPr>
          <w:ilvl w:val="0"/>
          <w:numId w:val="50"/>
        </w:numPr>
        <w:ind w:left="450" w:hanging="270"/>
      </w:pPr>
      <w:r w:rsidRPr="00C8641A">
        <w:t xml:space="preserve">Panelist, “A Framework-Based Approach to Anti-Manipulation Surveillance.” Presented at </w:t>
      </w:r>
      <w:r w:rsidRPr="00C8641A">
        <w:rPr>
          <w:i/>
        </w:rPr>
        <w:t>Looking over the Horizon: Energy Trading Policy, Compliance and Enforcement Trends in Today's Evolving Regulatory Landscape</w:t>
      </w:r>
      <w:r w:rsidRPr="00C8641A">
        <w:t>, a conference sponsored by K&amp;L Gates and Ernst and Young (Houston, TX), April 2017</w:t>
      </w:r>
    </w:p>
    <w:p w14:paraId="0F402F79" w14:textId="5D17A1AD" w:rsidR="001A4B6B" w:rsidRPr="00C8641A" w:rsidRDefault="001A4B6B" w:rsidP="00F016F4">
      <w:pPr>
        <w:pStyle w:val="ListParagraph"/>
        <w:numPr>
          <w:ilvl w:val="0"/>
          <w:numId w:val="50"/>
        </w:numPr>
        <w:ind w:left="450" w:hanging="270"/>
      </w:pPr>
      <w:r w:rsidRPr="00C8641A">
        <w:t xml:space="preserve">Panelist, “Interactions between Wholesale Electricity Markets and State Policy Objectives.” Presented at </w:t>
      </w:r>
      <w:r w:rsidRPr="00C8641A">
        <w:rPr>
          <w:i/>
        </w:rPr>
        <w:t>A Roundtable on the Upcoming FERC Technical Conference: RTO Markets and The State/Federal Divide</w:t>
      </w:r>
      <w:r w:rsidRPr="00C8641A">
        <w:t>, sponsored by Sidley Austin (Houston, TX), March 2017</w:t>
      </w:r>
    </w:p>
    <w:p w14:paraId="2C69ECEE" w14:textId="6EA252AB" w:rsidR="001A4B6B" w:rsidRPr="00C8641A" w:rsidRDefault="001A4B6B" w:rsidP="00F016F4">
      <w:pPr>
        <w:pStyle w:val="ListParagraph"/>
        <w:numPr>
          <w:ilvl w:val="0"/>
          <w:numId w:val="50"/>
        </w:numPr>
        <w:ind w:left="450" w:hanging="270"/>
      </w:pPr>
      <w:r w:rsidRPr="00C8641A">
        <w:t xml:space="preserve">Panelist, “Interactions between Wholesale Electricity Markets and State Policy Objectives.” Presented at </w:t>
      </w:r>
      <w:r w:rsidRPr="00C8641A">
        <w:rPr>
          <w:i/>
        </w:rPr>
        <w:t>A Roundtable on the Upcoming FERC Technical Conference: RTO Markets and The State/Federal Divide</w:t>
      </w:r>
      <w:r w:rsidRPr="00C8641A">
        <w:t>, sponsored by Sidley Austin (Ney York, NY), March 2017</w:t>
      </w:r>
    </w:p>
    <w:p w14:paraId="76B3343C" w14:textId="644A6EBE" w:rsidR="001A4B6B" w:rsidRPr="00C8641A" w:rsidRDefault="001A4B6B" w:rsidP="00F016F4">
      <w:pPr>
        <w:pStyle w:val="ListParagraph"/>
        <w:numPr>
          <w:ilvl w:val="0"/>
          <w:numId w:val="50"/>
        </w:numPr>
        <w:ind w:left="450" w:hanging="270"/>
      </w:pPr>
      <w:r w:rsidRPr="00C8641A">
        <w:t xml:space="preserve">Moderator, “Summary of the FERC White Papers on Compliance and Enforcement.” </w:t>
      </w:r>
      <w:r w:rsidRPr="00C8641A">
        <w:rPr>
          <w:i/>
        </w:rPr>
        <w:t>EUCI Conference on FTRs/CRRs/TCCs/TCRs</w:t>
      </w:r>
      <w:r w:rsidRPr="00C8641A">
        <w:t xml:space="preserve"> (Washington, DC), January 2017</w:t>
      </w:r>
    </w:p>
    <w:p w14:paraId="53E7D077" w14:textId="16875C59" w:rsidR="001A4B6B" w:rsidRPr="00C8641A" w:rsidRDefault="001A4B6B" w:rsidP="00F016F4">
      <w:pPr>
        <w:pStyle w:val="ListParagraph"/>
        <w:numPr>
          <w:ilvl w:val="0"/>
          <w:numId w:val="50"/>
        </w:numPr>
        <w:ind w:left="450" w:hanging="270"/>
      </w:pPr>
      <w:r w:rsidRPr="00C8641A">
        <w:t xml:space="preserve">Panelist, “FERC and CFTC Enforcement Developments in 2016.” presented at </w:t>
      </w:r>
      <w:r w:rsidRPr="00C8641A">
        <w:rPr>
          <w:i/>
        </w:rPr>
        <w:t>Dorsey &amp; Whitney’s Third Annual Federal Enforcement Forum</w:t>
      </w:r>
      <w:r w:rsidRPr="00C8641A">
        <w:t xml:space="preserve"> (Washington, DC), December 2017</w:t>
      </w:r>
    </w:p>
    <w:p w14:paraId="7F354A01" w14:textId="61EE7655" w:rsidR="001A4B6B" w:rsidRPr="00C8641A" w:rsidRDefault="001A4B6B" w:rsidP="00F016F4">
      <w:pPr>
        <w:pStyle w:val="ListParagraph"/>
        <w:numPr>
          <w:ilvl w:val="0"/>
          <w:numId w:val="50"/>
        </w:numPr>
        <w:ind w:left="450" w:hanging="270"/>
      </w:pPr>
      <w:r w:rsidRPr="00C8641A">
        <w:t>Panelist, “"Spoofing" and Disruptive Futures Trading Practices: What Every Firm Needs to Know.” Knowledge Group Webinar, November 2016</w:t>
      </w:r>
    </w:p>
    <w:p w14:paraId="3A651454" w14:textId="3B66C4A3" w:rsidR="001A4B6B" w:rsidRPr="00C8641A" w:rsidRDefault="001A4B6B" w:rsidP="00F016F4">
      <w:pPr>
        <w:pStyle w:val="ListParagraph"/>
        <w:numPr>
          <w:ilvl w:val="0"/>
          <w:numId w:val="50"/>
        </w:numPr>
        <w:ind w:left="450" w:hanging="270"/>
      </w:pPr>
      <w:r w:rsidRPr="00C8641A">
        <w:t>Panel Moderator, “Market Manipulation in the Financial &amp; Energy Sectors: Can We Prevent the Next Wave of Abuses?”</w:t>
      </w:r>
      <w:r w:rsidR="004B1822" w:rsidRPr="00C8641A">
        <w:t xml:space="preserve"> </w:t>
      </w:r>
      <w:r w:rsidRPr="00C8641A">
        <w:rPr>
          <w:i/>
        </w:rPr>
        <w:t>Concurrences’ Global Antitrust Economics Conference</w:t>
      </w:r>
      <w:r w:rsidRPr="00C8641A">
        <w:t xml:space="preserve"> (Chicago, IL), October 2017</w:t>
      </w:r>
    </w:p>
    <w:p w14:paraId="52C9C00B" w14:textId="7092720F" w:rsidR="001A4B6B" w:rsidRPr="00C8641A" w:rsidRDefault="001A4B6B" w:rsidP="00F016F4">
      <w:pPr>
        <w:pStyle w:val="ListParagraph"/>
        <w:numPr>
          <w:ilvl w:val="0"/>
          <w:numId w:val="50"/>
        </w:numPr>
        <w:ind w:left="450" w:hanging="270"/>
      </w:pPr>
      <w:r w:rsidRPr="00C8641A">
        <w:lastRenderedPageBreak/>
        <w:t xml:space="preserve">Panelist, “Market Manipulation Enforcement: Some Economic Perspectives.” Presented at the </w:t>
      </w:r>
      <w:r w:rsidRPr="00C8641A">
        <w:rPr>
          <w:i/>
        </w:rPr>
        <w:t>Akin Gump Energy Enforcement Seminar</w:t>
      </w:r>
      <w:r w:rsidRPr="00C8641A">
        <w:t xml:space="preserve"> (Houston, TX), October 2016</w:t>
      </w:r>
    </w:p>
    <w:p w14:paraId="20D9448F" w14:textId="3D2EA947" w:rsidR="001A4B6B" w:rsidRPr="00C8641A" w:rsidRDefault="001A4B6B" w:rsidP="00F016F4">
      <w:pPr>
        <w:pStyle w:val="ListParagraph"/>
        <w:numPr>
          <w:ilvl w:val="0"/>
          <w:numId w:val="50"/>
        </w:numPr>
        <w:ind w:left="450" w:hanging="270"/>
      </w:pPr>
      <w:r w:rsidRPr="00C8641A">
        <w:t xml:space="preserve">Panelist, “Recent Developments at Aliso Canyon.” Presented at the </w:t>
      </w:r>
      <w:r w:rsidRPr="00C8641A">
        <w:rPr>
          <w:i/>
        </w:rPr>
        <w:t xml:space="preserve">Sidley Austin Roundtable </w:t>
      </w:r>
      <w:r w:rsidRPr="00C8641A">
        <w:t>(New York, NY), May 2016</w:t>
      </w:r>
    </w:p>
    <w:p w14:paraId="4A27DE44" w14:textId="67B2DFF8" w:rsidR="001A4B6B" w:rsidRPr="00C8641A" w:rsidRDefault="001A4B6B" w:rsidP="00F016F4">
      <w:pPr>
        <w:pStyle w:val="ListParagraph"/>
        <w:numPr>
          <w:ilvl w:val="0"/>
          <w:numId w:val="50"/>
        </w:numPr>
        <w:ind w:left="450" w:hanging="270"/>
      </w:pPr>
      <w:r w:rsidRPr="00C8641A">
        <w:t xml:space="preserve">Panelist, “Recent Developments at Aliso Canyon.” Presented at the </w:t>
      </w:r>
      <w:r w:rsidRPr="00C8641A">
        <w:rPr>
          <w:i/>
        </w:rPr>
        <w:t>Sidley Austin Roundtable</w:t>
      </w:r>
      <w:r w:rsidRPr="00C8641A">
        <w:t xml:space="preserve"> (Houston, TX), April 2016</w:t>
      </w:r>
    </w:p>
    <w:p w14:paraId="7686B902" w14:textId="77777777" w:rsidR="001A4B6B" w:rsidRPr="00C8641A" w:rsidRDefault="001A4B6B" w:rsidP="00F016F4">
      <w:pPr>
        <w:pStyle w:val="ListParagraph"/>
        <w:numPr>
          <w:ilvl w:val="0"/>
          <w:numId w:val="50"/>
        </w:numPr>
        <w:ind w:left="450" w:hanging="270"/>
      </w:pPr>
      <w:r w:rsidRPr="00C8641A">
        <w:t>Alternatively titled “Gas-Electric Issues Arising from Aliso Canyon Restrictions”</w:t>
      </w:r>
    </w:p>
    <w:p w14:paraId="2974678E" w14:textId="46B62FE8" w:rsidR="001A4B6B" w:rsidRPr="00C8641A" w:rsidRDefault="001A4B6B" w:rsidP="00F016F4">
      <w:pPr>
        <w:pStyle w:val="ListParagraph"/>
        <w:numPr>
          <w:ilvl w:val="0"/>
          <w:numId w:val="50"/>
        </w:numPr>
        <w:ind w:left="450" w:hanging="270"/>
      </w:pPr>
      <w:r w:rsidRPr="00C8641A">
        <w:t xml:space="preserve">Panelist, “Over-Enforcement versus Effective Enforcement in Manipulation Cases.” </w:t>
      </w:r>
      <w:r w:rsidRPr="00C8641A">
        <w:rPr>
          <w:i/>
        </w:rPr>
        <w:t>Dorsey &amp; Whitney’s Second Annual Federal Enforcement Forum</w:t>
      </w:r>
      <w:r w:rsidRPr="00C8641A">
        <w:t xml:space="preserve"> (Washington, </w:t>
      </w:r>
      <w:r w:rsidR="00B353D7" w:rsidRPr="00C8641A">
        <w:t>DC</w:t>
      </w:r>
      <w:r w:rsidRPr="00C8641A">
        <w:t>), February 2016</w:t>
      </w:r>
    </w:p>
    <w:p w14:paraId="71B586BA" w14:textId="5658ADF9" w:rsidR="001A4B6B" w:rsidRPr="00C8641A" w:rsidRDefault="001A4B6B" w:rsidP="00F016F4">
      <w:pPr>
        <w:pStyle w:val="ListParagraph"/>
        <w:numPr>
          <w:ilvl w:val="0"/>
          <w:numId w:val="50"/>
        </w:numPr>
        <w:ind w:left="450" w:hanging="270"/>
      </w:pPr>
      <w:r w:rsidRPr="00C8641A">
        <w:t xml:space="preserve">Panelist, “A Framework for Understanding Market Manipulation.” </w:t>
      </w:r>
      <w:r w:rsidRPr="00C8641A">
        <w:rPr>
          <w:i/>
        </w:rPr>
        <w:t>Energy Bar Association 2nd Annual Canadian Forum</w:t>
      </w:r>
      <w:r w:rsidRPr="00C8641A">
        <w:t xml:space="preserve"> (Calgary, Alberta), October 2015</w:t>
      </w:r>
    </w:p>
    <w:p w14:paraId="5BFE8D19" w14:textId="2317095E" w:rsidR="001A4B6B" w:rsidRPr="00C8641A" w:rsidRDefault="001A4B6B" w:rsidP="00F016F4">
      <w:pPr>
        <w:pStyle w:val="ListParagraph"/>
        <w:numPr>
          <w:ilvl w:val="0"/>
          <w:numId w:val="50"/>
        </w:numPr>
        <w:ind w:left="450" w:hanging="270"/>
      </w:pPr>
      <w:r w:rsidRPr="00C8641A">
        <w:t xml:space="preserve">Panelist, “CFTC and FERC Enforcement Trends and Developments.” </w:t>
      </w:r>
      <w:r w:rsidRPr="00C8641A">
        <w:rPr>
          <w:i/>
        </w:rPr>
        <w:t>Reed Smith Energy and Commodities Conference</w:t>
      </w:r>
      <w:r w:rsidRPr="00C8641A">
        <w:t xml:space="preserve"> (Houston, TX), September 2015</w:t>
      </w:r>
    </w:p>
    <w:p w14:paraId="4F77D7EA" w14:textId="45CF21CE" w:rsidR="001A4B6B" w:rsidRPr="00C8641A" w:rsidRDefault="001A4B6B" w:rsidP="00F016F4">
      <w:pPr>
        <w:pStyle w:val="ListParagraph"/>
        <w:numPr>
          <w:ilvl w:val="0"/>
          <w:numId w:val="50"/>
        </w:numPr>
        <w:ind w:left="450" w:hanging="270"/>
      </w:pPr>
      <w:r w:rsidRPr="00C8641A">
        <w:t xml:space="preserve">Panelist, “What Trading Organizations Can Do to Proactively Manage Swaps Manipulation Risks.” </w:t>
      </w:r>
      <w:r w:rsidRPr="00C8641A">
        <w:rPr>
          <w:i/>
        </w:rPr>
        <w:t>EUCI Conference on Financial Transmission Rights</w:t>
      </w:r>
      <w:r w:rsidRPr="00C8641A">
        <w:t xml:space="preserve"> (Washington, DC), July 2015</w:t>
      </w:r>
    </w:p>
    <w:p w14:paraId="43A3120F" w14:textId="3650C0B1" w:rsidR="001A4B6B" w:rsidRPr="00C8641A" w:rsidRDefault="001A4B6B" w:rsidP="00F016F4">
      <w:pPr>
        <w:pStyle w:val="ListParagraph"/>
        <w:numPr>
          <w:ilvl w:val="0"/>
          <w:numId w:val="50"/>
        </w:numPr>
        <w:ind w:left="450" w:hanging="270"/>
      </w:pPr>
      <w:r w:rsidRPr="00C8641A">
        <w:t xml:space="preserve">“Market Power and Market Manipulation in Energy Markets: From the California Crisis to the Present.” </w:t>
      </w:r>
      <w:r w:rsidRPr="00C8641A">
        <w:rPr>
          <w:i/>
        </w:rPr>
        <w:t>UBS Securities, LLC Conference Call</w:t>
      </w:r>
      <w:r w:rsidRPr="00C8641A">
        <w:t xml:space="preserve"> (webinar), June 2015</w:t>
      </w:r>
    </w:p>
    <w:p w14:paraId="61F8B26C" w14:textId="52FD0C82" w:rsidR="001A4B6B" w:rsidRPr="00C8641A" w:rsidRDefault="001A4B6B" w:rsidP="00F016F4">
      <w:pPr>
        <w:pStyle w:val="ListParagraph"/>
        <w:numPr>
          <w:ilvl w:val="0"/>
          <w:numId w:val="50"/>
        </w:numPr>
        <w:ind w:left="450" w:hanging="270"/>
      </w:pPr>
      <w:r w:rsidRPr="00C8641A">
        <w:t xml:space="preserve">Panelist, “Market Manipulation in Energy Markets.” </w:t>
      </w:r>
      <w:r w:rsidRPr="00C8641A">
        <w:rPr>
          <w:i/>
        </w:rPr>
        <w:t>Georgetown Center for Business and Public Policy Symposium on Market Power and Market Manipulation in Energy Markets</w:t>
      </w:r>
      <w:r w:rsidRPr="00C8641A">
        <w:t xml:space="preserve"> (Washington, DC), May 2015</w:t>
      </w:r>
    </w:p>
    <w:p w14:paraId="1CE1C56F" w14:textId="50D5B8A2" w:rsidR="001A4B6B" w:rsidRPr="00C8641A" w:rsidRDefault="001A4B6B" w:rsidP="00F016F4">
      <w:pPr>
        <w:pStyle w:val="ListParagraph"/>
        <w:numPr>
          <w:ilvl w:val="0"/>
          <w:numId w:val="50"/>
        </w:numPr>
        <w:ind w:left="450" w:hanging="270"/>
      </w:pPr>
      <w:r w:rsidRPr="00C8641A">
        <w:t xml:space="preserve">“A framework for the analysis of market manipulation.” </w:t>
      </w:r>
      <w:r w:rsidRPr="00C8641A">
        <w:rPr>
          <w:i/>
        </w:rPr>
        <w:t>30th Annual EISG Conference</w:t>
      </w:r>
      <w:r w:rsidRPr="00C8641A">
        <w:t xml:space="preserve"> (Toronto, Ontario), May 2015</w:t>
      </w:r>
    </w:p>
    <w:p w14:paraId="1C5FF1E4" w14:textId="03CCE72F" w:rsidR="001A4B6B" w:rsidRPr="00C8641A" w:rsidRDefault="001A4B6B" w:rsidP="00F016F4">
      <w:pPr>
        <w:pStyle w:val="ListParagraph"/>
        <w:numPr>
          <w:ilvl w:val="0"/>
          <w:numId w:val="50"/>
        </w:numPr>
        <w:ind w:left="450" w:hanging="270"/>
      </w:pPr>
      <w:r w:rsidRPr="00C8641A">
        <w:t xml:space="preserve">Panelist, “The State of Market Manipulation: Oversight &amp; Enforcement in </w:t>
      </w:r>
      <w:r w:rsidR="00B353D7" w:rsidRPr="00C8641A">
        <w:t>US</w:t>
      </w:r>
      <w:r w:rsidRPr="00C8641A">
        <w:t xml:space="preserve"> Electricity Markets.” </w:t>
      </w:r>
      <w:r w:rsidRPr="00C8641A">
        <w:rPr>
          <w:i/>
        </w:rPr>
        <w:t>Gulf Coast Power Association’s 29</w:t>
      </w:r>
      <w:r w:rsidRPr="00C8641A">
        <w:rPr>
          <w:i/>
          <w:vertAlign w:val="superscript"/>
        </w:rPr>
        <w:t>th</w:t>
      </w:r>
      <w:r w:rsidRPr="00C8641A">
        <w:rPr>
          <w:i/>
        </w:rPr>
        <w:t xml:space="preserve"> Annual Spring Conference and Exhibition</w:t>
      </w:r>
      <w:r w:rsidRPr="00C8641A">
        <w:t xml:space="preserve"> (Houston, TX), April 2015</w:t>
      </w:r>
    </w:p>
    <w:p w14:paraId="27CF8502" w14:textId="66CD9D69" w:rsidR="001A4B6B" w:rsidRPr="00C8641A" w:rsidRDefault="001A4B6B" w:rsidP="00F016F4">
      <w:pPr>
        <w:pStyle w:val="ListParagraph"/>
        <w:numPr>
          <w:ilvl w:val="0"/>
          <w:numId w:val="50"/>
        </w:numPr>
        <w:ind w:left="450" w:hanging="270"/>
      </w:pPr>
      <w:r w:rsidRPr="00C8641A">
        <w:rPr>
          <w:bCs/>
        </w:rPr>
        <w:t xml:space="preserve">“Differentiating a Legitimate Hedge from a Target for Manipulation.” </w:t>
      </w:r>
      <w:r w:rsidRPr="00C8641A">
        <w:rPr>
          <w:bCs/>
          <w:i/>
        </w:rPr>
        <w:t>EUCI Conference on Integrating Energy Trading, Valuation, Market and Credit Risk Management</w:t>
      </w:r>
      <w:r w:rsidRPr="00C8641A">
        <w:rPr>
          <w:bCs/>
        </w:rPr>
        <w:t xml:space="preserve"> (Denver, CO), February 2015</w:t>
      </w:r>
    </w:p>
    <w:p w14:paraId="5F2E54A6" w14:textId="02AA77AF" w:rsidR="001A4B6B" w:rsidRPr="00C8641A" w:rsidRDefault="001A4B6B" w:rsidP="00F016F4">
      <w:pPr>
        <w:pStyle w:val="ListParagraph"/>
        <w:numPr>
          <w:ilvl w:val="0"/>
          <w:numId w:val="50"/>
        </w:numPr>
        <w:ind w:left="450" w:hanging="270"/>
      </w:pPr>
      <w:r w:rsidRPr="00C8641A">
        <w:rPr>
          <w:bCs/>
        </w:rPr>
        <w:t>“</w:t>
      </w:r>
      <w:r w:rsidRPr="00C8641A">
        <w:t>The Chasm between Following Market Rules and Fraud.”</w:t>
      </w:r>
      <w:r w:rsidRPr="00C8641A">
        <w:rPr>
          <w:bCs/>
        </w:rPr>
        <w:t xml:space="preserve"> </w:t>
      </w:r>
      <w:r w:rsidRPr="00C8641A">
        <w:rPr>
          <w:bCs/>
          <w:i/>
        </w:rPr>
        <w:t xml:space="preserve">Stanford University </w:t>
      </w:r>
      <w:r w:rsidRPr="00C8641A">
        <w:rPr>
          <w:i/>
        </w:rPr>
        <w:t xml:space="preserve">Program on Energy and Sustainable Development </w:t>
      </w:r>
      <w:r w:rsidRPr="00C8641A">
        <w:t>(Palo Alto, CA)</w:t>
      </w:r>
      <w:r w:rsidRPr="00C8641A">
        <w:rPr>
          <w:bCs/>
        </w:rPr>
        <w:t>, December 2014</w:t>
      </w:r>
    </w:p>
    <w:p w14:paraId="0F72439E" w14:textId="5C1FC34B" w:rsidR="001A4B6B" w:rsidRPr="00C8641A" w:rsidRDefault="001A4B6B" w:rsidP="00F016F4">
      <w:pPr>
        <w:pStyle w:val="ListParagraph"/>
        <w:numPr>
          <w:ilvl w:val="0"/>
          <w:numId w:val="50"/>
        </w:numPr>
        <w:ind w:left="450" w:hanging="270"/>
      </w:pPr>
      <w:r w:rsidRPr="00C8641A">
        <w:rPr>
          <w:bCs/>
        </w:rPr>
        <w:lastRenderedPageBreak/>
        <w:t>Panelist, “</w:t>
      </w:r>
      <w:r w:rsidRPr="00C8641A">
        <w:t>A Framework for Market Manipulation Compliance and Enforcement.”</w:t>
      </w:r>
      <w:r w:rsidRPr="00C8641A">
        <w:rPr>
          <w:bCs/>
        </w:rPr>
        <w:t xml:space="preserve"> </w:t>
      </w:r>
      <w:r w:rsidRPr="00C8641A">
        <w:rPr>
          <w:i/>
        </w:rPr>
        <w:t>Dorsey &amp; Whitney Enforcement Conference</w:t>
      </w:r>
      <w:r w:rsidRPr="00C8641A">
        <w:t xml:space="preserve"> (Washington, DC)</w:t>
      </w:r>
      <w:r w:rsidRPr="00C8641A">
        <w:rPr>
          <w:bCs/>
        </w:rPr>
        <w:t>, November 2014</w:t>
      </w:r>
    </w:p>
    <w:p w14:paraId="2D98B9AD" w14:textId="4993F295" w:rsidR="001A4B6B" w:rsidRPr="00C8641A" w:rsidRDefault="001A4B6B" w:rsidP="00F016F4">
      <w:pPr>
        <w:pStyle w:val="ListParagraph"/>
        <w:numPr>
          <w:ilvl w:val="0"/>
          <w:numId w:val="50"/>
        </w:numPr>
        <w:ind w:left="450" w:hanging="270"/>
      </w:pPr>
      <w:r w:rsidRPr="00C8641A">
        <w:t xml:space="preserve">“A Framework for Surveillance and Detection of Market Manipulation.” </w:t>
      </w:r>
      <w:r w:rsidRPr="00C8641A">
        <w:rPr>
          <w:i/>
        </w:rPr>
        <w:t>Council of European Energy Regulators Conference on Integrity and Transparency of Wholesale Energy Markets: WEM Task Force</w:t>
      </w:r>
      <w:r w:rsidRPr="00C8641A">
        <w:t xml:space="preserve"> </w:t>
      </w:r>
      <w:r w:rsidRPr="00C8641A">
        <w:rPr>
          <w:bCs/>
        </w:rPr>
        <w:t>(Milan, Italy), November 2014</w:t>
      </w:r>
    </w:p>
    <w:p w14:paraId="5717DAF1" w14:textId="39F0CAAB" w:rsidR="001A4B6B" w:rsidRPr="00C8641A" w:rsidRDefault="001A4B6B" w:rsidP="00F016F4">
      <w:pPr>
        <w:pStyle w:val="ListParagraph"/>
        <w:numPr>
          <w:ilvl w:val="0"/>
          <w:numId w:val="50"/>
        </w:numPr>
        <w:ind w:left="450" w:hanging="270"/>
      </w:pPr>
      <w:r w:rsidRPr="00C8641A">
        <w:t xml:space="preserve">Panelist, “Do Energy Market Speculators Manipulate Oil Prices?” </w:t>
      </w:r>
      <w:r w:rsidRPr="00C8641A">
        <w:rPr>
          <w:i/>
        </w:rPr>
        <w:t>University of Oklahoma Price College of Business Faculty and Industry Roundtable</w:t>
      </w:r>
      <w:r w:rsidRPr="00C8641A">
        <w:t xml:space="preserve"> (Norman, OK), October 2014</w:t>
      </w:r>
    </w:p>
    <w:p w14:paraId="49373920" w14:textId="659BE64C" w:rsidR="001A4B6B" w:rsidRPr="00C8641A" w:rsidRDefault="001A4B6B" w:rsidP="00F016F4">
      <w:pPr>
        <w:pStyle w:val="ListParagraph"/>
        <w:numPr>
          <w:ilvl w:val="0"/>
          <w:numId w:val="50"/>
        </w:numPr>
        <w:ind w:left="450" w:hanging="270"/>
      </w:pPr>
      <w:r w:rsidRPr="00C8641A">
        <w:t xml:space="preserve">Panelist, “FERC Enforcement: Cases of First Impression.” Cadwalader, Wickersham &amp; Taft </w:t>
      </w:r>
      <w:r w:rsidRPr="00C8641A">
        <w:rPr>
          <w:bCs/>
        </w:rPr>
        <w:t>(Houston, TX), September 2014</w:t>
      </w:r>
    </w:p>
    <w:p w14:paraId="669757D7" w14:textId="28DEEC32" w:rsidR="001A4B6B" w:rsidRPr="00C8641A" w:rsidRDefault="001A4B6B" w:rsidP="00F016F4">
      <w:pPr>
        <w:pStyle w:val="ListParagraph"/>
        <w:numPr>
          <w:ilvl w:val="0"/>
          <w:numId w:val="50"/>
        </w:numPr>
        <w:ind w:left="450" w:hanging="270"/>
      </w:pPr>
      <w:r w:rsidRPr="00C8641A">
        <w:t xml:space="preserve">Panelist, “Differentiating a FTR Hedge from a Target for Manipulation,” </w:t>
      </w:r>
      <w:r w:rsidRPr="00C8641A">
        <w:rPr>
          <w:i/>
        </w:rPr>
        <w:t>EUCI Conference on Financial Transmission and Congestion Revenue Rights</w:t>
      </w:r>
      <w:r w:rsidRPr="00C8641A">
        <w:t xml:space="preserve"> (Washington, DC), July 2014</w:t>
      </w:r>
    </w:p>
    <w:p w14:paraId="5711BD6D" w14:textId="0B17F3F0" w:rsidR="001A4B6B" w:rsidRPr="00C8641A" w:rsidRDefault="001A4B6B" w:rsidP="00F016F4">
      <w:pPr>
        <w:pStyle w:val="ListParagraph"/>
        <w:numPr>
          <w:ilvl w:val="0"/>
          <w:numId w:val="50"/>
        </w:numPr>
        <w:ind w:left="450" w:hanging="270"/>
      </w:pPr>
      <w:r w:rsidRPr="00C8641A">
        <w:t>Keynote address, “</w:t>
      </w:r>
      <w:r w:rsidRPr="00C8641A">
        <w:rPr>
          <w:bCs/>
        </w:rPr>
        <w:t>A Framework for Market Manipulation Compliance and Enforcement.”</w:t>
      </w:r>
      <w:r w:rsidRPr="00C8641A">
        <w:t xml:space="preserve"> </w:t>
      </w:r>
      <w:r w:rsidRPr="00C8641A">
        <w:rPr>
          <w:bCs/>
          <w:i/>
        </w:rPr>
        <w:t>Schiff Hardin LLP Annual FERC Briefing</w:t>
      </w:r>
      <w:r w:rsidRPr="00C8641A">
        <w:rPr>
          <w:bCs/>
        </w:rPr>
        <w:t xml:space="preserve"> (Chicago, IL), May 2014</w:t>
      </w:r>
    </w:p>
    <w:p w14:paraId="5E9CF522" w14:textId="30F5F363" w:rsidR="001A4B6B" w:rsidRPr="00C8641A" w:rsidRDefault="001A4B6B" w:rsidP="00F016F4">
      <w:pPr>
        <w:pStyle w:val="ListParagraph"/>
        <w:numPr>
          <w:ilvl w:val="0"/>
          <w:numId w:val="50"/>
        </w:numPr>
        <w:ind w:left="450" w:hanging="270"/>
      </w:pPr>
      <w:r w:rsidRPr="00C8641A">
        <w:t xml:space="preserve">Panelist, “A Framework for Market Manipulation Compliance and Enforcement.” Presented at </w:t>
      </w:r>
      <w:r w:rsidRPr="00C8641A">
        <w:rPr>
          <w:i/>
        </w:rPr>
        <w:t>Akin Gump’s Conference on Enforcement</w:t>
      </w:r>
      <w:r w:rsidRPr="00C8641A">
        <w:t xml:space="preserve"> (New York, NY), May 2014</w:t>
      </w:r>
    </w:p>
    <w:p w14:paraId="467500D4" w14:textId="628350D5" w:rsidR="001A4B6B" w:rsidRPr="00C8641A" w:rsidRDefault="001A4B6B" w:rsidP="00F016F4">
      <w:pPr>
        <w:pStyle w:val="ListParagraph"/>
        <w:numPr>
          <w:ilvl w:val="0"/>
          <w:numId w:val="50"/>
        </w:numPr>
        <w:ind w:left="450" w:hanging="270"/>
      </w:pPr>
      <w:r w:rsidRPr="00C8641A">
        <w:t xml:space="preserve">Chair &amp; presenter, “Uneconomic trading as transactional fraud: EU compliance lessons from across the pond.” A Master Class presented at the </w:t>
      </w:r>
      <w:r w:rsidRPr="00C8641A">
        <w:rPr>
          <w:i/>
        </w:rPr>
        <w:t>MarcusEvans Benchmarking Market Integrity and Transparency in Energy Trading Conference</w:t>
      </w:r>
      <w:r w:rsidRPr="00C8641A">
        <w:t xml:space="preserve"> (London, UK), April 2014</w:t>
      </w:r>
    </w:p>
    <w:p w14:paraId="11AD98F0" w14:textId="200D59FA" w:rsidR="001A4B6B" w:rsidRPr="00C8641A" w:rsidRDefault="001A4B6B" w:rsidP="00F016F4">
      <w:pPr>
        <w:pStyle w:val="ListParagraph"/>
        <w:numPr>
          <w:ilvl w:val="0"/>
          <w:numId w:val="50"/>
        </w:numPr>
        <w:ind w:left="450" w:hanging="270"/>
      </w:pPr>
      <w:r w:rsidRPr="00C8641A">
        <w:t>“Uneconomic trading as transactional fraud: EU compliance lessons from the US.”</w:t>
      </w:r>
      <w:r w:rsidR="004B1822" w:rsidRPr="00C8641A">
        <w:t xml:space="preserve"> </w:t>
      </w:r>
      <w:r w:rsidRPr="00C8641A">
        <w:t>Presented to the Italian Association of Energy Traders (Milan, Italy), April 2014</w:t>
      </w:r>
    </w:p>
    <w:p w14:paraId="4BD0F372" w14:textId="3B418A3C" w:rsidR="001A4B6B" w:rsidRPr="00C8641A" w:rsidRDefault="001A4B6B" w:rsidP="00F016F4">
      <w:pPr>
        <w:pStyle w:val="ListParagraph"/>
        <w:numPr>
          <w:ilvl w:val="0"/>
          <w:numId w:val="50"/>
        </w:numPr>
        <w:ind w:left="450" w:hanging="270"/>
      </w:pPr>
      <w:r w:rsidRPr="00C8641A">
        <w:t>“</w:t>
      </w:r>
      <w:r w:rsidRPr="00C8641A">
        <w:rPr>
          <w:bCs/>
        </w:rPr>
        <w:t xml:space="preserve">Understanding Market Manipulation.” Presented at </w:t>
      </w:r>
      <w:r w:rsidRPr="00C8641A">
        <w:t xml:space="preserve">EUCI’s conference on </w:t>
      </w:r>
      <w:r w:rsidRPr="00C8641A">
        <w:rPr>
          <w:i/>
        </w:rPr>
        <w:t xml:space="preserve">Best Practices in Decision and Risk Analysis </w:t>
      </w:r>
      <w:r w:rsidRPr="00C8641A">
        <w:t>(Philadelphia, PA), April 2014</w:t>
      </w:r>
    </w:p>
    <w:p w14:paraId="2A184876" w14:textId="5C610566" w:rsidR="001A4B6B" w:rsidRPr="00C8641A" w:rsidRDefault="001A4B6B" w:rsidP="00F016F4">
      <w:pPr>
        <w:pStyle w:val="ListParagraph"/>
        <w:numPr>
          <w:ilvl w:val="0"/>
          <w:numId w:val="50"/>
        </w:numPr>
        <w:ind w:left="450" w:hanging="270"/>
      </w:pPr>
      <w:r w:rsidRPr="00C8641A">
        <w:t>Panelist, “Market Manipulation and Antitrust: Complements or Substitutes?” Presented to the New York City Bar Association Antitrust and Trade Regulation Committee (New York, NY), February 2014</w:t>
      </w:r>
    </w:p>
    <w:p w14:paraId="00A0ADDD" w14:textId="1118FF96" w:rsidR="001A4B6B" w:rsidRPr="00C8641A" w:rsidRDefault="001A4B6B" w:rsidP="00F016F4">
      <w:pPr>
        <w:pStyle w:val="ListParagraph"/>
        <w:numPr>
          <w:ilvl w:val="0"/>
          <w:numId w:val="50"/>
        </w:numPr>
        <w:ind w:left="450" w:hanging="270"/>
      </w:pPr>
      <w:r w:rsidRPr="00C8641A">
        <w:t>“Market Manipulation and Antitrust: Complements or Substitutes?” Presented to the partnership of a major international law firm (New York, NY), February 2014</w:t>
      </w:r>
    </w:p>
    <w:p w14:paraId="2F3AA657" w14:textId="0711D5B1" w:rsidR="001A4B6B" w:rsidRPr="00C8641A" w:rsidRDefault="001A4B6B" w:rsidP="00F016F4">
      <w:pPr>
        <w:pStyle w:val="ListParagraph"/>
        <w:numPr>
          <w:ilvl w:val="0"/>
          <w:numId w:val="50"/>
        </w:numPr>
        <w:ind w:left="450" w:hanging="270"/>
      </w:pPr>
      <w:r w:rsidRPr="00C8641A">
        <w:t xml:space="preserve">Panelist, “A Framework for Market Manipulation Compliance and Enforcement.” Presented at the </w:t>
      </w:r>
      <w:r w:rsidRPr="00C8641A">
        <w:rPr>
          <w:i/>
        </w:rPr>
        <w:t>Energy Bar Association’s Enforcement Outlook</w:t>
      </w:r>
      <w:r w:rsidRPr="00C8641A">
        <w:t xml:space="preserve"> (Houston, TX), January 2014</w:t>
      </w:r>
    </w:p>
    <w:p w14:paraId="780C3424" w14:textId="523FA39E" w:rsidR="001A4B6B" w:rsidRPr="00C8641A" w:rsidRDefault="001A4B6B" w:rsidP="00F016F4">
      <w:pPr>
        <w:pStyle w:val="ListParagraph"/>
        <w:numPr>
          <w:ilvl w:val="0"/>
          <w:numId w:val="50"/>
        </w:numPr>
        <w:ind w:left="450" w:hanging="270"/>
      </w:pPr>
      <w:r w:rsidRPr="00C8641A">
        <w:t xml:space="preserve">Panelist, “A Holistic Approach to Manipulation Compliance and Enforcement.” Presented at the </w:t>
      </w:r>
      <w:r w:rsidRPr="00C8641A">
        <w:rPr>
          <w:i/>
        </w:rPr>
        <w:t>LSI Buying &amp; Selling Electric Power in the West Conference</w:t>
      </w:r>
      <w:r w:rsidRPr="00C8641A">
        <w:t xml:space="preserve"> (Seattle, WA), January 2014</w:t>
      </w:r>
    </w:p>
    <w:p w14:paraId="07393AEF" w14:textId="10F7CD39" w:rsidR="001A4B6B" w:rsidRPr="00C8641A" w:rsidRDefault="001A4B6B" w:rsidP="00F016F4">
      <w:pPr>
        <w:pStyle w:val="ListParagraph"/>
        <w:numPr>
          <w:ilvl w:val="0"/>
          <w:numId w:val="50"/>
        </w:numPr>
        <w:ind w:left="450" w:hanging="270"/>
      </w:pPr>
      <w:r w:rsidRPr="00C8641A">
        <w:lastRenderedPageBreak/>
        <w:t xml:space="preserve">“A Holistic Approach to Market Manipulation Compliance.” Presented to the traders and executives of a major </w:t>
      </w:r>
      <w:r w:rsidR="00B353D7" w:rsidRPr="00C8641A">
        <w:t>US</w:t>
      </w:r>
      <w:r w:rsidRPr="00C8641A">
        <w:t xml:space="preserve"> utility trading electricity and natural gas, October 2013</w:t>
      </w:r>
    </w:p>
    <w:p w14:paraId="3996A9A2" w14:textId="0D88B17E" w:rsidR="001A4B6B" w:rsidRPr="00C8641A" w:rsidRDefault="001A4B6B" w:rsidP="00F016F4">
      <w:pPr>
        <w:pStyle w:val="ListParagraph"/>
        <w:numPr>
          <w:ilvl w:val="0"/>
          <w:numId w:val="50"/>
        </w:numPr>
        <w:ind w:left="450" w:hanging="270"/>
      </w:pPr>
      <w:r w:rsidRPr="00C8641A">
        <w:t>“A Unifying Approach to Market Manipulation Compliance.” Presented to the executives, compliance officers and senior trading staff of a diversified international commodities trading firm (Houston, TX), September 2013</w:t>
      </w:r>
    </w:p>
    <w:p w14:paraId="63F67847" w14:textId="11DCD094" w:rsidR="001A4B6B" w:rsidRPr="00C8641A" w:rsidRDefault="001A4B6B" w:rsidP="00F016F4">
      <w:pPr>
        <w:pStyle w:val="ListParagraph"/>
        <w:numPr>
          <w:ilvl w:val="0"/>
          <w:numId w:val="50"/>
        </w:numPr>
        <w:ind w:left="450" w:hanging="270"/>
      </w:pPr>
      <w:r w:rsidRPr="00C8641A">
        <w:t>“A Holistic Approach to Market Manipulation Compliance.” Presented to the energy trading and compliance staff of a multinational financial institution (New York, NY), August 2013</w:t>
      </w:r>
    </w:p>
    <w:p w14:paraId="01712020" w14:textId="60424741" w:rsidR="001A4B6B" w:rsidRPr="00C8641A" w:rsidRDefault="001A4B6B" w:rsidP="00F016F4">
      <w:pPr>
        <w:pStyle w:val="ListParagraph"/>
        <w:numPr>
          <w:ilvl w:val="0"/>
          <w:numId w:val="50"/>
        </w:numPr>
        <w:ind w:left="450" w:hanging="270"/>
      </w:pPr>
      <w:r w:rsidRPr="00C8641A">
        <w:t xml:space="preserve">“Using Virtual and Physical Trades to Manipulate the Value of Financial Transmission Rights.” </w:t>
      </w:r>
      <w:r w:rsidRPr="00C8641A">
        <w:rPr>
          <w:i/>
        </w:rPr>
        <w:t>EUCI FTR Conference</w:t>
      </w:r>
      <w:r w:rsidRPr="00C8641A">
        <w:t xml:space="preserve"> (Washington, </w:t>
      </w:r>
      <w:r w:rsidR="00B353D7" w:rsidRPr="00C8641A">
        <w:t>DC</w:t>
      </w:r>
      <w:r w:rsidRPr="00C8641A">
        <w:t>), July 2012</w:t>
      </w:r>
    </w:p>
    <w:p w14:paraId="6BEA276A" w14:textId="69B470E9" w:rsidR="001A4B6B" w:rsidRPr="00C8641A" w:rsidRDefault="001A4B6B" w:rsidP="00F016F4">
      <w:pPr>
        <w:pStyle w:val="ListParagraph"/>
        <w:numPr>
          <w:ilvl w:val="0"/>
          <w:numId w:val="50"/>
        </w:numPr>
        <w:ind w:left="450" w:hanging="270"/>
      </w:pPr>
      <w:r w:rsidRPr="00C8641A">
        <w:t>“A Unifying Approach to Market Manipulation Compliance.” Presented to the partners of a national law firm interested in applications to energy, commodities and securities trading (Washington, DC), July 2013</w:t>
      </w:r>
    </w:p>
    <w:p w14:paraId="10F70BC4" w14:textId="4A5C94DA" w:rsidR="001A4B6B" w:rsidRPr="00C8641A" w:rsidRDefault="001A4B6B" w:rsidP="00F016F4">
      <w:pPr>
        <w:pStyle w:val="ListParagraph"/>
        <w:numPr>
          <w:ilvl w:val="0"/>
          <w:numId w:val="50"/>
        </w:numPr>
        <w:ind w:left="450" w:hanging="270"/>
      </w:pPr>
      <w:r w:rsidRPr="00C8641A">
        <w:t xml:space="preserve">“An Example of Competing Interests in a Cross-Subsidization Program: PJM Capacity Market.” </w:t>
      </w:r>
      <w:r w:rsidRPr="00C8641A">
        <w:rPr>
          <w:i/>
        </w:rPr>
        <w:t>Platts European Gas and Power Trading Conference</w:t>
      </w:r>
      <w:r w:rsidRPr="00C8641A">
        <w:t xml:space="preserve"> (London, UK), June 2013</w:t>
      </w:r>
    </w:p>
    <w:p w14:paraId="708B1FC3" w14:textId="5CC752D9" w:rsidR="001A4B6B" w:rsidRPr="00C8641A" w:rsidRDefault="001A4B6B" w:rsidP="00F016F4">
      <w:pPr>
        <w:pStyle w:val="ListParagraph"/>
        <w:numPr>
          <w:ilvl w:val="0"/>
          <w:numId w:val="50"/>
        </w:numPr>
        <w:ind w:left="450" w:hanging="270"/>
      </w:pPr>
      <w:r w:rsidRPr="00C8641A">
        <w:t xml:space="preserve">“A Unifying Approach to Market Manipulation Compliance.” </w:t>
      </w:r>
      <w:r w:rsidRPr="00C8641A">
        <w:rPr>
          <w:i/>
        </w:rPr>
        <w:t>Platts European Gas and Power Trading Conference</w:t>
      </w:r>
      <w:r w:rsidRPr="00C8641A">
        <w:t xml:space="preserve"> (London, UK), June 2013</w:t>
      </w:r>
    </w:p>
    <w:p w14:paraId="244E7992" w14:textId="65C23EFF" w:rsidR="001A4B6B" w:rsidRPr="00C8641A" w:rsidRDefault="001A4B6B" w:rsidP="00F016F4">
      <w:pPr>
        <w:pStyle w:val="ListParagraph"/>
        <w:numPr>
          <w:ilvl w:val="0"/>
          <w:numId w:val="50"/>
        </w:numPr>
        <w:ind w:left="450" w:hanging="270"/>
      </w:pPr>
      <w:r w:rsidRPr="00C8641A">
        <w:t xml:space="preserve">Panelist, “Market Manipulation post Hunter vs. FERC: A Framework for Unified Analysis.” </w:t>
      </w:r>
      <w:r w:rsidRPr="00C8641A">
        <w:rPr>
          <w:i/>
        </w:rPr>
        <w:t>Harvard Electricity Policy Group’s 71st Plenary Session</w:t>
      </w:r>
      <w:r w:rsidRPr="00C8641A">
        <w:t xml:space="preserve"> (Calgary, AB), June 2013</w:t>
      </w:r>
    </w:p>
    <w:p w14:paraId="719AA815" w14:textId="2598BB57" w:rsidR="001A4B6B" w:rsidRPr="00C8641A" w:rsidRDefault="001A4B6B" w:rsidP="00F016F4">
      <w:pPr>
        <w:pStyle w:val="ListParagraph"/>
        <w:numPr>
          <w:ilvl w:val="0"/>
          <w:numId w:val="50"/>
        </w:numPr>
        <w:ind w:left="450" w:hanging="270"/>
      </w:pPr>
      <w:r w:rsidRPr="00C8641A">
        <w:t xml:space="preserve">“A Perspective on Market Manipulation.” Presented to the traders and compliance staff of a major </w:t>
      </w:r>
      <w:r w:rsidR="00B353D7" w:rsidRPr="00C8641A">
        <w:t>US</w:t>
      </w:r>
      <w:r w:rsidRPr="00C8641A">
        <w:t xml:space="preserve"> electricity trading company, May 2013</w:t>
      </w:r>
    </w:p>
    <w:p w14:paraId="552F29DC" w14:textId="6F57C362" w:rsidR="001A4B6B" w:rsidRPr="00C8641A" w:rsidRDefault="001A4B6B" w:rsidP="00F016F4">
      <w:pPr>
        <w:pStyle w:val="ListParagraph"/>
        <w:numPr>
          <w:ilvl w:val="0"/>
          <w:numId w:val="50"/>
        </w:numPr>
        <w:ind w:left="450" w:hanging="270"/>
      </w:pPr>
      <w:r w:rsidRPr="00C8641A">
        <w:t>“A Holistic Approach to Market Manipulation Compliance.” Presented to the partnership of WilmerHale (Brussels, Belgium), May 2013</w:t>
      </w:r>
    </w:p>
    <w:p w14:paraId="0D65BD0F" w14:textId="14EF6B15" w:rsidR="001A4B6B" w:rsidRPr="00C8641A" w:rsidRDefault="001A4B6B" w:rsidP="00F016F4">
      <w:pPr>
        <w:pStyle w:val="ListParagraph"/>
        <w:numPr>
          <w:ilvl w:val="0"/>
          <w:numId w:val="50"/>
        </w:numPr>
        <w:ind w:left="450" w:hanging="270"/>
      </w:pPr>
      <w:r w:rsidRPr="00C8641A">
        <w:t>“A Holistic Approach to Compliance: REMIT and the MAD.” Presented to the traders and compliance staff of a major European energy trading company, April 2013</w:t>
      </w:r>
    </w:p>
    <w:p w14:paraId="13129DA7" w14:textId="545B4EF1" w:rsidR="001A4B6B" w:rsidRPr="00C8641A" w:rsidRDefault="001A4B6B" w:rsidP="00F016F4">
      <w:pPr>
        <w:pStyle w:val="ListParagraph"/>
        <w:numPr>
          <w:ilvl w:val="0"/>
          <w:numId w:val="50"/>
        </w:numPr>
        <w:ind w:left="450" w:hanging="270"/>
      </w:pPr>
      <w:r w:rsidRPr="00C8641A">
        <w:t xml:space="preserve">A Holistic Approach to Market Manipulation Compliance.” </w:t>
      </w:r>
      <w:r w:rsidR="002D6393" w:rsidRPr="00C8641A">
        <w:t>P</w:t>
      </w:r>
      <w:r w:rsidRPr="00C8641A">
        <w:t>resented to the partnership of Shiff Hardin (Washington, DC), April 2013</w:t>
      </w:r>
    </w:p>
    <w:p w14:paraId="4C36C1CB" w14:textId="4DF04C7D" w:rsidR="001A4B6B" w:rsidRPr="00C8641A" w:rsidRDefault="001A4B6B" w:rsidP="00F016F4">
      <w:pPr>
        <w:pStyle w:val="ListParagraph"/>
        <w:numPr>
          <w:ilvl w:val="0"/>
          <w:numId w:val="50"/>
        </w:numPr>
        <w:ind w:left="450" w:hanging="270"/>
      </w:pPr>
      <w:r w:rsidRPr="00C8641A">
        <w:t>Panelist, “ISO/RTO Financial Products and Recent Trends in FERC Enforcement.” Presentation sponsored by the Energy Bar Association Electricity Regulation Committee and the Compliance and Enforcement Committee (Washington, DC), April 2013</w:t>
      </w:r>
    </w:p>
    <w:p w14:paraId="6BB57670" w14:textId="16B3488E" w:rsidR="001A4B6B" w:rsidRPr="00C8641A" w:rsidRDefault="001A4B6B" w:rsidP="00F016F4">
      <w:pPr>
        <w:pStyle w:val="ListParagraph"/>
        <w:numPr>
          <w:ilvl w:val="0"/>
          <w:numId w:val="50"/>
        </w:numPr>
        <w:ind w:left="450" w:hanging="270"/>
      </w:pPr>
      <w:r w:rsidRPr="00C8641A">
        <w:t xml:space="preserve">“Uneconomic Trading in Energy Markets: A Framework of Market Manipulation.” </w:t>
      </w:r>
      <w:r w:rsidRPr="00C8641A">
        <w:rPr>
          <w:i/>
        </w:rPr>
        <w:t>Penn State Faculty Colloquy</w:t>
      </w:r>
      <w:r w:rsidRPr="00C8641A">
        <w:t xml:space="preserve"> (State College, Pennsylvania), April 2013</w:t>
      </w:r>
    </w:p>
    <w:p w14:paraId="2B8DA3E5" w14:textId="77777777" w:rsidR="001A4B6B" w:rsidRPr="00C8641A" w:rsidRDefault="001A4B6B" w:rsidP="00F016F4">
      <w:pPr>
        <w:pStyle w:val="ListParagraph"/>
        <w:numPr>
          <w:ilvl w:val="0"/>
          <w:numId w:val="50"/>
        </w:numPr>
        <w:ind w:left="450" w:hanging="270"/>
      </w:pPr>
      <w:r w:rsidRPr="00C8641A">
        <w:lastRenderedPageBreak/>
        <w:t>“Market Manipulation in Wholesale Electricity Markets.” Webinar presented to NP Market Council (regulato</w:t>
      </w:r>
      <w:bookmarkStart w:id="0" w:name="_GoBack"/>
      <w:bookmarkEnd w:id="0"/>
      <w:r w:rsidRPr="00C8641A">
        <w:t>r of wholesale electricity markets for the Russian federation), March 2013.</w:t>
      </w:r>
    </w:p>
    <w:p w14:paraId="73D54FBF" w14:textId="76F32DB3" w:rsidR="001A4B6B" w:rsidRPr="00C8641A" w:rsidRDefault="001A4B6B" w:rsidP="00F016F4">
      <w:pPr>
        <w:pStyle w:val="ListParagraph"/>
        <w:numPr>
          <w:ilvl w:val="0"/>
          <w:numId w:val="50"/>
        </w:numPr>
        <w:ind w:left="450" w:hanging="270"/>
      </w:pPr>
      <w:r w:rsidRPr="00C8641A">
        <w:t>“An Economic Approach to FERC Anti-Manipulation Compliance.” Presented to the compliance staff and traders of a major commercial energy trading company, March 2013</w:t>
      </w:r>
    </w:p>
    <w:p w14:paraId="59613E22" w14:textId="5F9CA0E9" w:rsidR="001A4B6B" w:rsidRPr="00C8641A" w:rsidRDefault="001A4B6B" w:rsidP="00F016F4">
      <w:pPr>
        <w:pStyle w:val="ListParagraph"/>
        <w:numPr>
          <w:ilvl w:val="0"/>
          <w:numId w:val="50"/>
        </w:numPr>
        <w:ind w:left="450" w:hanging="270"/>
      </w:pPr>
      <w:r w:rsidRPr="00C8641A">
        <w:t xml:space="preserve">“Market Manipulation Cases in </w:t>
      </w:r>
      <w:r w:rsidR="00B353D7" w:rsidRPr="00C8641A">
        <w:t>US</w:t>
      </w:r>
      <w:r w:rsidRPr="00C8641A">
        <w:t xml:space="preserve"> Wholesale Electricity and Natural Gas Markets.” </w:t>
      </w:r>
      <w:r w:rsidRPr="00C8641A">
        <w:rPr>
          <w:i/>
        </w:rPr>
        <w:t>Bird &amp; Bird Seminar on Market Abuse</w:t>
      </w:r>
      <w:r w:rsidRPr="00C8641A">
        <w:t xml:space="preserve"> (London, UK), February 2013</w:t>
      </w:r>
    </w:p>
    <w:p w14:paraId="02997FFD" w14:textId="169D8B7F" w:rsidR="001A4B6B" w:rsidRPr="00C8641A" w:rsidRDefault="001A4B6B" w:rsidP="00F016F4">
      <w:pPr>
        <w:pStyle w:val="ListParagraph"/>
        <w:numPr>
          <w:ilvl w:val="0"/>
          <w:numId w:val="50"/>
        </w:numPr>
        <w:ind w:left="450" w:hanging="270"/>
      </w:pPr>
      <w:r w:rsidRPr="00C8641A">
        <w:t>“Market Manipulation in Wholesale Electricity and Natural Gas Markets.” A webinar presented for the West LegalEd CLE program, January 2013</w:t>
      </w:r>
    </w:p>
    <w:p w14:paraId="55CFB406" w14:textId="34FD4674" w:rsidR="001A4B6B" w:rsidRPr="00C8641A" w:rsidRDefault="001A4B6B" w:rsidP="00F016F4">
      <w:pPr>
        <w:pStyle w:val="ListParagraph"/>
        <w:numPr>
          <w:ilvl w:val="0"/>
          <w:numId w:val="50"/>
        </w:numPr>
        <w:ind w:left="450" w:hanging="270"/>
      </w:pPr>
      <w:r w:rsidRPr="00C8641A">
        <w:t xml:space="preserve">“Using Virtual Bids to Manipulate the Value of Financial Transmission Rights.” </w:t>
      </w:r>
      <w:r w:rsidRPr="00C8641A">
        <w:rPr>
          <w:i/>
        </w:rPr>
        <w:t>USAEE/IAEE Annual Conference</w:t>
      </w:r>
      <w:r w:rsidRPr="00C8641A">
        <w:t xml:space="preserve"> (Austin, TX), November 2012</w:t>
      </w:r>
    </w:p>
    <w:p w14:paraId="1C3A1CFB" w14:textId="73849645" w:rsidR="001A4B6B" w:rsidRPr="00C8641A" w:rsidRDefault="001A4B6B" w:rsidP="00F016F4">
      <w:pPr>
        <w:pStyle w:val="ListParagraph"/>
        <w:numPr>
          <w:ilvl w:val="0"/>
          <w:numId w:val="50"/>
        </w:numPr>
        <w:ind w:left="450" w:hanging="270"/>
      </w:pPr>
      <w:r w:rsidRPr="00C8641A">
        <w:t xml:space="preserve">Panel Moderator, “Recent Market Violations and Their Repercussions on Compliance and Counterparty Risk.” </w:t>
      </w:r>
      <w:r w:rsidRPr="00C8641A">
        <w:rPr>
          <w:i/>
        </w:rPr>
        <w:t>EUCI Conference on Credit &amp; Counterparty Risk</w:t>
      </w:r>
      <w:r w:rsidRPr="00C8641A">
        <w:t xml:space="preserve"> (Baltimore, MD), November 2012</w:t>
      </w:r>
    </w:p>
    <w:p w14:paraId="7C7688A5" w14:textId="4085D5DE" w:rsidR="001A4B6B" w:rsidRPr="00C8641A" w:rsidRDefault="001A4B6B" w:rsidP="00F016F4">
      <w:pPr>
        <w:pStyle w:val="ListParagraph"/>
        <w:numPr>
          <w:ilvl w:val="0"/>
          <w:numId w:val="50"/>
        </w:numPr>
        <w:ind w:left="450" w:hanging="270"/>
      </w:pPr>
      <w:r w:rsidRPr="00C8641A">
        <w:t>“An Economic Approach to FERC Anti-Manipulation Compliance.” Presented to the gas and electricity trading groups of a major utility’s trading group, November 2012</w:t>
      </w:r>
    </w:p>
    <w:p w14:paraId="6A651C5F" w14:textId="370E200C" w:rsidR="001A4B6B" w:rsidRPr="00C8641A" w:rsidRDefault="001A4B6B" w:rsidP="00F016F4">
      <w:pPr>
        <w:pStyle w:val="ListParagraph"/>
        <w:numPr>
          <w:ilvl w:val="0"/>
          <w:numId w:val="50"/>
        </w:numPr>
        <w:ind w:left="450" w:hanging="270"/>
      </w:pPr>
      <w:r w:rsidRPr="00C8641A">
        <w:t>Panelist, “Meeting Cross-Border Requirements:</w:t>
      </w:r>
      <w:r w:rsidR="004B1822" w:rsidRPr="00C8641A">
        <w:t xml:space="preserve"> </w:t>
      </w:r>
      <w:r w:rsidRPr="00C8641A">
        <w:t xml:space="preserve">Understanding Changing International Regulations and Ensuring Global Compliance.” </w:t>
      </w:r>
      <w:r w:rsidRPr="00C8641A">
        <w:rPr>
          <w:i/>
        </w:rPr>
        <w:t xml:space="preserve">ACI Energy Trading Compliance and Regulatory Enforcement Conference </w:t>
      </w:r>
      <w:r w:rsidRPr="00C8641A">
        <w:t>(Washington, DC), November 2012</w:t>
      </w:r>
    </w:p>
    <w:p w14:paraId="43FE6139" w14:textId="33F03976" w:rsidR="001A4B6B" w:rsidRPr="00C8641A" w:rsidRDefault="001A4B6B" w:rsidP="00F016F4">
      <w:pPr>
        <w:pStyle w:val="ListParagraph"/>
        <w:numPr>
          <w:ilvl w:val="0"/>
          <w:numId w:val="50"/>
        </w:numPr>
        <w:ind w:left="450" w:hanging="270"/>
      </w:pPr>
      <w:r w:rsidRPr="00C8641A">
        <w:t xml:space="preserve">Panel Moderator, “FERC’s Anti-Market Manipulation Rule and the Impact on Physical and Virtual Market Participants.” </w:t>
      </w:r>
      <w:r w:rsidRPr="00C8641A">
        <w:rPr>
          <w:i/>
        </w:rPr>
        <w:t>EUCI FTR Conference</w:t>
      </w:r>
      <w:r w:rsidRPr="00C8641A">
        <w:t xml:space="preserve"> (Houston, TX), August 2012</w:t>
      </w:r>
    </w:p>
    <w:p w14:paraId="10E49317" w14:textId="21D93A30" w:rsidR="001A4B6B" w:rsidRPr="00C8641A" w:rsidRDefault="001A4B6B" w:rsidP="00F016F4">
      <w:pPr>
        <w:pStyle w:val="ListParagraph"/>
        <w:numPr>
          <w:ilvl w:val="0"/>
          <w:numId w:val="50"/>
        </w:numPr>
        <w:ind w:left="450" w:hanging="270"/>
      </w:pPr>
      <w:r w:rsidRPr="00C8641A">
        <w:t xml:space="preserve">“An Analytical Framework for Anti-Manipulation Compliance, Monitoring, and Enforcement.” </w:t>
      </w:r>
      <w:r w:rsidRPr="00C8641A">
        <w:rPr>
          <w:i/>
        </w:rPr>
        <w:t>Marcus Evans Conference on European Energy Market Integrity: REMIT &amp; Regulatory Compliance</w:t>
      </w:r>
      <w:r w:rsidRPr="00C8641A">
        <w:t xml:space="preserve"> (London, UK), April 2012</w:t>
      </w:r>
    </w:p>
    <w:p w14:paraId="2BEB827E" w14:textId="20123021" w:rsidR="001A4B6B" w:rsidRPr="00C8641A" w:rsidRDefault="001A4B6B" w:rsidP="00F016F4">
      <w:pPr>
        <w:pStyle w:val="ListParagraph"/>
        <w:numPr>
          <w:ilvl w:val="0"/>
          <w:numId w:val="50"/>
        </w:numPr>
        <w:ind w:left="450" w:hanging="270"/>
      </w:pPr>
      <w:r w:rsidRPr="00C8641A">
        <w:t>“Energy Trading Compliance and Enforcement Post Dodd-Frank: A Framework of Market Manipulation.” Presented to the partnerships of Dewey LeBoeuf and Cadwalader, Wickersham and Taft</w:t>
      </w:r>
      <w:r w:rsidR="004B1822" w:rsidRPr="00C8641A">
        <w:t xml:space="preserve"> </w:t>
      </w:r>
      <w:r w:rsidRPr="00C8641A">
        <w:t>(Washington, DC), January and March 2012</w:t>
      </w:r>
    </w:p>
    <w:p w14:paraId="04F9EAE7" w14:textId="74CD1E9A" w:rsidR="001A4B6B" w:rsidRPr="00C8641A" w:rsidRDefault="001A4B6B" w:rsidP="00F016F4">
      <w:pPr>
        <w:pStyle w:val="ListParagraph"/>
        <w:numPr>
          <w:ilvl w:val="0"/>
          <w:numId w:val="50"/>
        </w:numPr>
        <w:ind w:left="450" w:hanging="270"/>
      </w:pPr>
      <w:r w:rsidRPr="00C8641A">
        <w:t xml:space="preserve">“The Search for a Uniform Definition of Market Manipulation: A Proposed Framework.” </w:t>
      </w:r>
      <w:r w:rsidRPr="00C8641A">
        <w:rPr>
          <w:i/>
        </w:rPr>
        <w:t>A Conclave Concerning the REMIT</w:t>
      </w:r>
      <w:r w:rsidRPr="00C8641A">
        <w:t xml:space="preserve"> (London, UK), October 2011</w:t>
      </w:r>
    </w:p>
    <w:p w14:paraId="02B54C34" w14:textId="7C1BF81F" w:rsidR="001A4B6B" w:rsidRPr="00C8641A" w:rsidRDefault="001A4B6B" w:rsidP="00F016F4">
      <w:pPr>
        <w:pStyle w:val="ListParagraph"/>
        <w:numPr>
          <w:ilvl w:val="0"/>
          <w:numId w:val="50"/>
        </w:numPr>
        <w:ind w:left="450" w:hanging="270"/>
      </w:pPr>
      <w:r w:rsidRPr="00C8641A">
        <w:t xml:space="preserve">“Manipulation of FTR Markets.” Presented to </w:t>
      </w:r>
      <w:r w:rsidRPr="00C8641A">
        <w:rPr>
          <w:i/>
        </w:rPr>
        <w:t>EUCI’s Conference on Financial Transmission Rights</w:t>
      </w:r>
      <w:r w:rsidRPr="00C8641A">
        <w:t xml:space="preserve"> (Houston, TX), July 2011</w:t>
      </w:r>
    </w:p>
    <w:p w14:paraId="003927C8" w14:textId="580AB8F8" w:rsidR="001A4B6B" w:rsidRPr="00C8641A" w:rsidRDefault="001A4B6B" w:rsidP="00F016F4">
      <w:pPr>
        <w:pStyle w:val="ListParagraph"/>
        <w:numPr>
          <w:ilvl w:val="0"/>
          <w:numId w:val="50"/>
        </w:numPr>
        <w:ind w:left="450" w:hanging="270"/>
      </w:pPr>
      <w:r w:rsidRPr="00C8641A">
        <w:lastRenderedPageBreak/>
        <w:t>“Triggers and Targets: A Framework for Analyzing Market Manipulation.” Presented to the American Gas Association (Washington, DC), July 2011</w:t>
      </w:r>
    </w:p>
    <w:p w14:paraId="2BB7E2AD" w14:textId="2E66D7BD" w:rsidR="001A4B6B" w:rsidRPr="00C8641A" w:rsidRDefault="001A4B6B" w:rsidP="00F016F4">
      <w:pPr>
        <w:pStyle w:val="ListParagraph"/>
        <w:numPr>
          <w:ilvl w:val="0"/>
          <w:numId w:val="50"/>
        </w:numPr>
        <w:ind w:left="450" w:hanging="270"/>
      </w:pPr>
      <w:r w:rsidRPr="00C8641A">
        <w:t xml:space="preserve">“A Framework for Defining Energy Market Manipulation,” presented to the </w:t>
      </w:r>
      <w:r w:rsidRPr="00C8641A">
        <w:rPr>
          <w:i/>
        </w:rPr>
        <w:t>Bracewell &amp; Giuliani LLP Energy Compliance Network</w:t>
      </w:r>
      <w:r w:rsidRPr="00C8641A">
        <w:t xml:space="preserve"> (Houston, TX), May 2011</w:t>
      </w:r>
    </w:p>
    <w:p w14:paraId="487FC81B" w14:textId="3A6F38BD" w:rsidR="001A4B6B" w:rsidRPr="00C8641A" w:rsidRDefault="001A4B6B" w:rsidP="00F016F4">
      <w:pPr>
        <w:pStyle w:val="ListParagraph"/>
        <w:numPr>
          <w:ilvl w:val="0"/>
          <w:numId w:val="50"/>
        </w:numPr>
        <w:ind w:left="450" w:hanging="270"/>
      </w:pPr>
      <w:r w:rsidRPr="00C8641A">
        <w:t xml:space="preserve">Panelist, “Market Manipulation.” Presented at </w:t>
      </w:r>
      <w:r w:rsidRPr="00C8641A">
        <w:rPr>
          <w:i/>
        </w:rPr>
        <w:t>Skadden’s 6th Annual Enforcement and Compliance Conference</w:t>
      </w:r>
      <w:r w:rsidRPr="00C8641A">
        <w:t xml:space="preserve"> (Washington, DC), February 2011</w:t>
      </w:r>
    </w:p>
    <w:p w14:paraId="692C8567" w14:textId="5B4DB3E9" w:rsidR="001A4B6B" w:rsidRPr="00C8641A" w:rsidRDefault="001A4B6B" w:rsidP="00F016F4">
      <w:pPr>
        <w:pStyle w:val="ListParagraph"/>
        <w:numPr>
          <w:ilvl w:val="0"/>
          <w:numId w:val="50"/>
        </w:numPr>
        <w:ind w:left="450" w:hanging="270"/>
      </w:pPr>
      <w:r w:rsidRPr="00C8641A">
        <w:t xml:space="preserve">“The Impact of FERC’s Anti-Manipulation Statute on FTRs and Related Positions.” </w:t>
      </w:r>
      <w:r w:rsidRPr="00C8641A">
        <w:rPr>
          <w:i/>
        </w:rPr>
        <w:t>EUCI’s Conference on Financial Transmission Rights</w:t>
      </w:r>
      <w:r w:rsidRPr="00C8641A">
        <w:t xml:space="preserve"> (Alexandria, VA), July</w:t>
      </w:r>
      <w:r w:rsidR="004B1822" w:rsidRPr="00C8641A">
        <w:t xml:space="preserve"> </w:t>
      </w:r>
      <w:r w:rsidRPr="00C8641A">
        <w:t>2010</w:t>
      </w:r>
    </w:p>
    <w:p w14:paraId="6C06B933" w14:textId="263A4FD2" w:rsidR="001A4B6B" w:rsidRPr="00C8641A" w:rsidRDefault="001A4B6B" w:rsidP="00F016F4">
      <w:pPr>
        <w:pStyle w:val="ListParagraph"/>
        <w:numPr>
          <w:ilvl w:val="0"/>
          <w:numId w:val="50"/>
        </w:numPr>
        <w:ind w:left="450" w:hanging="270"/>
      </w:pPr>
      <w:r w:rsidRPr="00C8641A">
        <w:t>“The Correlation of Energy Prices to Long-Term Interest Rates.” Delivered at the PACAF Command Financial Specialists Roundtable in coordination with the University of Oklahoma (Okinawa, Japan), August 2008</w:t>
      </w:r>
    </w:p>
    <w:p w14:paraId="58FBD23C" w14:textId="0CE61205" w:rsidR="001A4B6B" w:rsidRPr="00C8641A" w:rsidRDefault="001A4B6B" w:rsidP="00F016F4">
      <w:pPr>
        <w:pStyle w:val="ListParagraph"/>
        <w:numPr>
          <w:ilvl w:val="0"/>
          <w:numId w:val="50"/>
        </w:numPr>
        <w:ind w:left="450" w:hanging="270"/>
      </w:pPr>
      <w:r w:rsidRPr="00C8641A">
        <w:t>“Avoiding Dutch Disease: Diversification of the Azeri Economy Given the Discovery of Caspian Oil Reserves.” Training Session conducted with USAID and the Univ. of Oklahoma and presented to member of the Oil Ministry of Azerbaijan (Baku, Azerbaijan), August 1999</w:t>
      </w:r>
    </w:p>
    <w:p w14:paraId="16EC08EC" w14:textId="241C0F86" w:rsidR="001F0ED0" w:rsidRPr="00C8641A" w:rsidRDefault="003B4F9D" w:rsidP="00F016F4">
      <w:pPr>
        <w:pStyle w:val="ListParagraph"/>
        <w:numPr>
          <w:ilvl w:val="0"/>
          <w:numId w:val="50"/>
        </w:numPr>
        <w:ind w:left="450" w:hanging="270"/>
      </w:pPr>
      <w:r w:rsidRPr="00C8641A">
        <w:t>“</w:t>
      </w:r>
      <w:r w:rsidR="001A4B6B" w:rsidRPr="00C8641A">
        <w:t>Poland: A Case Study of Industrial Development within Eastern European Nations.</w:t>
      </w:r>
      <w:r w:rsidRPr="00C8641A">
        <w:t>”</w:t>
      </w:r>
      <w:r w:rsidR="001A4B6B" w:rsidRPr="00C8641A">
        <w:t xml:space="preserve"> Delivered at the Southwest Economic Assn</w:t>
      </w:r>
      <w:r w:rsidR="00C246CD">
        <w:t>.</w:t>
      </w:r>
      <w:r w:rsidR="001A4B6B" w:rsidRPr="00C8641A">
        <w:t xml:space="preserve"> Conference (New Orleans, LA), March 1993</w:t>
      </w:r>
    </w:p>
    <w:p w14:paraId="62E32C4A" w14:textId="77777777" w:rsidR="001A4B6B" w:rsidRDefault="001A4B6B" w:rsidP="001A4B6B">
      <w:pPr>
        <w:pStyle w:val="Heading5"/>
      </w:pPr>
      <w:r>
        <w:t xml:space="preserve">PROFESSIONAL ASSOCIATIONS &amp; MEMBERSHIPS </w:t>
      </w:r>
    </w:p>
    <w:p w14:paraId="146CB7A7"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American Bar Association</w:t>
      </w:r>
    </w:p>
    <w:p w14:paraId="29CE4BB3"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American Economic Association</w:t>
      </w:r>
    </w:p>
    <w:p w14:paraId="6A3AD72F"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American Finance Association</w:t>
      </w:r>
    </w:p>
    <w:p w14:paraId="6E5E1903"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Federal Energy Bar Association</w:t>
      </w:r>
    </w:p>
    <w:p w14:paraId="2AF27A5B"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Oklahoma Bar Association</w:t>
      </w:r>
    </w:p>
    <w:p w14:paraId="334CCF0C" w14:textId="77777777" w:rsidR="001A4B6B" w:rsidRPr="003B4F9D" w:rsidRDefault="001A4B6B" w:rsidP="00A9078E">
      <w:pPr>
        <w:pStyle w:val="BulletedList"/>
        <w:numPr>
          <w:ilvl w:val="0"/>
          <w:numId w:val="34"/>
        </w:numPr>
        <w:spacing w:after="0"/>
        <w:ind w:right="360"/>
        <w:rPr>
          <w:rFonts w:asciiTheme="minorHAnsi" w:hAnsiTheme="minorHAnsi" w:cstheme="minorHAnsi"/>
          <w:color w:val="auto"/>
          <w:sz w:val="24"/>
          <w:szCs w:val="24"/>
        </w:rPr>
      </w:pPr>
      <w:r w:rsidRPr="003B4F9D">
        <w:rPr>
          <w:rFonts w:asciiTheme="minorHAnsi" w:hAnsiTheme="minorHAnsi" w:cstheme="minorHAnsi"/>
          <w:color w:val="auto"/>
          <w:sz w:val="24"/>
          <w:szCs w:val="24"/>
        </w:rPr>
        <w:t>Phi Beta Kappa</w:t>
      </w:r>
    </w:p>
    <w:p w14:paraId="7B26729C" w14:textId="77777777" w:rsidR="001A4B6B" w:rsidRPr="00220395" w:rsidRDefault="001A4B6B" w:rsidP="001A4B6B"/>
    <w:sectPr w:rsidR="001A4B6B" w:rsidRPr="00220395" w:rsidSect="00E96781">
      <w:footerReference w:type="default" r:id="rId13"/>
      <w:headerReference w:type="first" r:id="rId14"/>
      <w:footerReference w:type="first" r:id="rId15"/>
      <w:pgSz w:w="12240" w:h="15840" w:code="1"/>
      <w:pgMar w:top="1440" w:right="1440" w:bottom="1440" w:left="1440" w:header="720" w:footer="720" w:gutter="0"/>
      <w:pgNumType w:chapStyle="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E7B0" w14:textId="77777777" w:rsidR="00EB76F2" w:rsidRDefault="00EB76F2" w:rsidP="00EE1546">
      <w:r>
        <w:separator/>
      </w:r>
    </w:p>
    <w:p w14:paraId="294D2EE5" w14:textId="77777777" w:rsidR="00EB76F2" w:rsidRDefault="00EB76F2"/>
    <w:p w14:paraId="110CC682" w14:textId="77777777" w:rsidR="00EB76F2" w:rsidRDefault="00EB76F2" w:rsidP="002F35D0"/>
    <w:p w14:paraId="32282F5C" w14:textId="77777777" w:rsidR="00EB76F2" w:rsidRDefault="00EB76F2" w:rsidP="002F35D0"/>
  </w:endnote>
  <w:endnote w:type="continuationSeparator" w:id="0">
    <w:p w14:paraId="054CF8FB" w14:textId="77777777" w:rsidR="00EB76F2" w:rsidRDefault="00EB76F2" w:rsidP="00EE1546">
      <w:r>
        <w:continuationSeparator/>
      </w:r>
    </w:p>
    <w:p w14:paraId="74F86D9A" w14:textId="77777777" w:rsidR="00EB76F2" w:rsidRDefault="00EB76F2"/>
    <w:p w14:paraId="7991A487" w14:textId="77777777" w:rsidR="00EB76F2" w:rsidRDefault="00EB76F2" w:rsidP="002F35D0"/>
    <w:p w14:paraId="6361CB59" w14:textId="77777777" w:rsidR="00EB76F2" w:rsidRDefault="00EB76F2" w:rsidP="002F35D0"/>
  </w:endnote>
  <w:endnote w:type="continuationNotice" w:id="1">
    <w:p w14:paraId="085825E6" w14:textId="77777777" w:rsidR="00EB76F2" w:rsidRDefault="00EB7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4B86" w14:textId="36DF070E" w:rsidR="00153A67" w:rsidRDefault="00153A67" w:rsidP="00990D2E">
    <w:pPr>
      <w:pStyle w:val="Footer"/>
      <w:tabs>
        <w:tab w:val="clear" w:pos="9360"/>
        <w:tab w:val="right" w:pos="9324"/>
      </w:tabs>
    </w:pPr>
    <w:r w:rsidRPr="00BD7695">
      <w:rPr>
        <w:noProof/>
        <w:lang w:eastAsia="en-US"/>
      </w:rPr>
      <w:drawing>
        <wp:anchor distT="0" distB="0" distL="0" distR="0" simplePos="0" relativeHeight="251659264" behindDoc="0" locked="0" layoutInCell="1" allowOverlap="1" wp14:anchorId="6F934D05" wp14:editId="00FEBC65">
          <wp:simplePos x="0" y="0"/>
          <wp:positionH relativeFrom="margin">
            <wp:posOffset>-144780</wp:posOffset>
          </wp:positionH>
          <wp:positionV relativeFrom="paragraph">
            <wp:posOffset>-62230</wp:posOffset>
          </wp:positionV>
          <wp:extent cx="115189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ttle Logo RGB.emf"/>
                  <pic:cNvPicPr/>
                </pic:nvPicPr>
                <pic:blipFill>
                  <a:blip r:embed="rId1">
                    <a:extLst>
                      <a:ext uri="{28A0092B-C50C-407E-A947-70E740481C1C}">
                        <a14:useLocalDpi xmlns:a14="http://schemas.microsoft.com/office/drawing/2010/main" val="0"/>
                      </a:ext>
                    </a:extLst>
                  </a:blip>
                  <a:stretch>
                    <a:fillRect/>
                  </a:stretch>
                </pic:blipFill>
                <pic:spPr>
                  <a:xfrm>
                    <a:off x="0" y="0"/>
                    <a:ext cx="1151890" cy="50292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alias w:val="Title"/>
        <w:tag w:val=""/>
        <w:id w:val="-169949803"/>
        <w:dataBinding w:prefixMappings="xmlns:ns0='http://purl.org/dc/elements/1.1/' xmlns:ns1='http://schemas.openxmlformats.org/package/2006/metadata/core-properties' " w:xpath="/ns1:coreProperties[1]/ns0:title[1]" w:storeItemID="{6C3C8BC8-F283-45AE-878A-BAB7291924A1}"/>
        <w:text/>
      </w:sdtPr>
      <w:sdtEndPr/>
      <w:sdtContent>
        <w:r>
          <w:t>Shaun Ledgerwood</w:t>
        </w:r>
      </w:sdtContent>
    </w:sdt>
    <w:r w:rsidRPr="00670F35">
      <w:tab/>
    </w:r>
    <w:r>
      <w:t>b</w:t>
    </w:r>
    <w:r w:rsidRPr="00670F35">
      <w:t xml:space="preserve">rattle.com | </w:t>
    </w:r>
    <w:r w:rsidRPr="00B36C54">
      <w:rPr>
        <w:rStyle w:val="FooterChar"/>
        <w:bCs/>
      </w:rPr>
      <w:fldChar w:fldCharType="begin"/>
    </w:r>
    <w:r w:rsidRPr="00B36C54">
      <w:rPr>
        <w:rStyle w:val="FooterChar"/>
        <w:bCs/>
      </w:rPr>
      <w:instrText xml:space="preserve"> PAGE  \* Arabic  \* MERGEFORMAT </w:instrText>
    </w:r>
    <w:r w:rsidRPr="00B36C54">
      <w:rPr>
        <w:rStyle w:val="FooterChar"/>
        <w:bCs/>
      </w:rPr>
      <w:fldChar w:fldCharType="separate"/>
    </w:r>
    <w:r w:rsidR="00C246CD">
      <w:rPr>
        <w:rStyle w:val="FooterChar"/>
        <w:bCs/>
        <w:noProof/>
      </w:rPr>
      <w:t>22</w:t>
    </w:r>
    <w:r w:rsidRPr="00B36C54">
      <w:rPr>
        <w:rStyle w:val="FooterChar"/>
        <w:bCs/>
      </w:rPr>
      <w:fldChar w:fldCharType="end"/>
    </w:r>
    <w:r w:rsidRPr="00B36C54">
      <w:rPr>
        <w:rStyle w:val="FooterChar"/>
      </w:rPr>
      <w:t xml:space="preserve"> of </w:t>
    </w:r>
    <w:r w:rsidRPr="00B36C54">
      <w:rPr>
        <w:rStyle w:val="FooterChar"/>
        <w:bCs/>
      </w:rPr>
      <w:fldChar w:fldCharType="begin"/>
    </w:r>
    <w:r w:rsidRPr="00B36C54">
      <w:rPr>
        <w:rStyle w:val="FooterChar"/>
        <w:bCs/>
      </w:rPr>
      <w:instrText xml:space="preserve"> NUMPAGES  \* Arabic  \* MERGEFORMAT </w:instrText>
    </w:r>
    <w:r w:rsidRPr="00B36C54">
      <w:rPr>
        <w:rStyle w:val="FooterChar"/>
        <w:bCs/>
      </w:rPr>
      <w:fldChar w:fldCharType="separate"/>
    </w:r>
    <w:r w:rsidR="00C246CD">
      <w:rPr>
        <w:rStyle w:val="FooterChar"/>
        <w:bCs/>
        <w:noProof/>
      </w:rPr>
      <w:t>28</w:t>
    </w:r>
    <w:r w:rsidRPr="00B36C54">
      <w:rPr>
        <w:rStyle w:val="FooterCha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9914" w14:textId="70F78140" w:rsidR="00153A67" w:rsidRDefault="00153A67" w:rsidP="00501DBE">
    <w:pPr>
      <w:pStyle w:val="Footer"/>
      <w:tabs>
        <w:tab w:val="clear" w:pos="9360"/>
        <w:tab w:val="right" w:pos="9324"/>
      </w:tabs>
    </w:pPr>
    <w:r w:rsidRPr="00BD7695">
      <w:rPr>
        <w:noProof/>
        <w:lang w:eastAsia="en-US"/>
      </w:rPr>
      <w:drawing>
        <wp:anchor distT="0" distB="0" distL="0" distR="0" simplePos="0" relativeHeight="251666432" behindDoc="0" locked="0" layoutInCell="1" allowOverlap="1" wp14:anchorId="478E20AB" wp14:editId="32881FE2">
          <wp:simplePos x="0" y="0"/>
          <wp:positionH relativeFrom="margin">
            <wp:posOffset>-144780</wp:posOffset>
          </wp:positionH>
          <wp:positionV relativeFrom="paragraph">
            <wp:posOffset>-62230</wp:posOffset>
          </wp:positionV>
          <wp:extent cx="115189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ttle Logo RGB.emf"/>
                  <pic:cNvPicPr/>
                </pic:nvPicPr>
                <pic:blipFill>
                  <a:blip r:embed="rId1">
                    <a:extLst>
                      <a:ext uri="{28A0092B-C50C-407E-A947-70E740481C1C}">
                        <a14:useLocalDpi xmlns:a14="http://schemas.microsoft.com/office/drawing/2010/main" val="0"/>
                      </a:ext>
                    </a:extLst>
                  </a:blip>
                  <a:stretch>
                    <a:fillRect/>
                  </a:stretch>
                </pic:blipFill>
                <pic:spPr>
                  <a:xfrm>
                    <a:off x="0" y="0"/>
                    <a:ext cx="1151890" cy="50292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alias w:val="Title"/>
        <w:tag w:val=""/>
        <w:id w:val="-642738489"/>
        <w:dataBinding w:prefixMappings="xmlns:ns0='http://purl.org/dc/elements/1.1/' xmlns:ns1='http://schemas.openxmlformats.org/package/2006/metadata/core-properties' " w:xpath="/ns1:coreProperties[1]/ns0:title[1]" w:storeItemID="{6C3C8BC8-F283-45AE-878A-BAB7291924A1}"/>
        <w:text/>
      </w:sdtPr>
      <w:sdtEndPr/>
      <w:sdtContent>
        <w:r>
          <w:t>Shaun Ledgerwood</w:t>
        </w:r>
      </w:sdtContent>
    </w:sdt>
    <w:r>
      <w:t xml:space="preserve"> </w:t>
    </w:r>
    <w:r w:rsidRPr="00670F35">
      <w:tab/>
    </w:r>
    <w:r>
      <w:t>b</w:t>
    </w:r>
    <w:r w:rsidRPr="00670F35">
      <w:t>rattle.com |</w:t>
    </w:r>
    <w:r>
      <w:t xml:space="preserve"> </w:t>
    </w:r>
    <w:r w:rsidRPr="00B36C54">
      <w:rPr>
        <w:rStyle w:val="FooterChar"/>
        <w:bCs/>
      </w:rPr>
      <w:fldChar w:fldCharType="begin"/>
    </w:r>
    <w:r w:rsidRPr="00B36C54">
      <w:rPr>
        <w:rStyle w:val="FooterChar"/>
        <w:bCs/>
      </w:rPr>
      <w:instrText xml:space="preserve"> PAGE  \* Arabic  \* MERGEFORMAT </w:instrText>
    </w:r>
    <w:r w:rsidRPr="00B36C54">
      <w:rPr>
        <w:rStyle w:val="FooterChar"/>
        <w:bCs/>
      </w:rPr>
      <w:fldChar w:fldCharType="separate"/>
    </w:r>
    <w:r w:rsidR="00781F5F">
      <w:rPr>
        <w:rStyle w:val="FooterChar"/>
        <w:bCs/>
        <w:noProof/>
      </w:rPr>
      <w:t>1</w:t>
    </w:r>
    <w:r w:rsidRPr="00B36C54">
      <w:rPr>
        <w:rStyle w:val="FooterChar"/>
        <w:bCs/>
      </w:rPr>
      <w:fldChar w:fldCharType="end"/>
    </w:r>
    <w:r w:rsidRPr="00B36C54">
      <w:rPr>
        <w:rStyle w:val="FooterChar"/>
      </w:rPr>
      <w:t xml:space="preserve"> of </w:t>
    </w:r>
    <w:r w:rsidRPr="00B36C54">
      <w:rPr>
        <w:rStyle w:val="FooterChar"/>
        <w:bCs/>
      </w:rPr>
      <w:fldChar w:fldCharType="begin"/>
    </w:r>
    <w:r w:rsidRPr="00B36C54">
      <w:rPr>
        <w:rStyle w:val="FooterChar"/>
        <w:bCs/>
      </w:rPr>
      <w:instrText xml:space="preserve"> NUMPAGES  \* Arabic  \* MERGEFORMAT </w:instrText>
    </w:r>
    <w:r w:rsidRPr="00B36C54">
      <w:rPr>
        <w:rStyle w:val="FooterChar"/>
        <w:bCs/>
      </w:rPr>
      <w:fldChar w:fldCharType="separate"/>
    </w:r>
    <w:r w:rsidR="00781F5F">
      <w:rPr>
        <w:rStyle w:val="FooterChar"/>
        <w:bCs/>
        <w:noProof/>
      </w:rPr>
      <w:t>28</w:t>
    </w:r>
    <w:r w:rsidRPr="00B36C54">
      <w:rPr>
        <w:rStyle w:val="FooterCha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7694" w14:textId="77777777" w:rsidR="00EB76F2" w:rsidRDefault="00EB76F2" w:rsidP="00CD2B4D">
      <w:pPr>
        <w:pStyle w:val="FootnoteSeparator"/>
      </w:pPr>
    </w:p>
  </w:footnote>
  <w:footnote w:type="continuationSeparator" w:id="0">
    <w:p w14:paraId="4490E51D" w14:textId="77777777" w:rsidR="00EB76F2" w:rsidRDefault="00EB76F2" w:rsidP="003A5897">
      <w:pPr>
        <w:spacing w:before="80"/>
      </w:pPr>
      <w:r>
        <w:separator/>
      </w:r>
    </w:p>
    <w:p w14:paraId="05B2682C" w14:textId="77777777" w:rsidR="00EB76F2" w:rsidRPr="003A5897" w:rsidRDefault="00EB76F2" w:rsidP="003A5897">
      <w:pPr>
        <w:spacing w:before="80" w:after="80"/>
        <w:rPr>
          <w:sz w:val="16"/>
          <w:szCs w:val="16"/>
        </w:rPr>
      </w:pPr>
      <w:r w:rsidRPr="003A5897">
        <w:rPr>
          <w:sz w:val="16"/>
          <w:szCs w:val="16"/>
        </w:rPr>
        <w:t>Continued from previous page</w:t>
      </w:r>
    </w:p>
  </w:footnote>
  <w:footnote w:type="continuationNotice" w:id="1">
    <w:p w14:paraId="187CEC41" w14:textId="77777777" w:rsidR="00EB76F2" w:rsidRPr="003A5897" w:rsidRDefault="00EB76F2" w:rsidP="003A5897">
      <w:pPr>
        <w:spacing w:before="80"/>
        <w:jc w:val="right"/>
        <w:rPr>
          <w:sz w:val="16"/>
          <w:szCs w:val="16"/>
        </w:rPr>
      </w:pPr>
      <w:r w:rsidRPr="003A5897">
        <w:rPr>
          <w:sz w:val="16"/>
          <w:szCs w:val="16"/>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9227" w14:textId="77777777" w:rsidR="00153A67" w:rsidRPr="00501DBE" w:rsidRDefault="00153A67" w:rsidP="00501DB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6610C"/>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5C02443E"/>
    <w:lvl w:ilvl="0">
      <w:start w:val="1"/>
      <w:numFmt w:val="decimal"/>
      <w:pStyle w:val="Heading9"/>
      <w:lvlText w:val="%1."/>
      <w:lvlJc w:val="left"/>
      <w:pPr>
        <w:tabs>
          <w:tab w:val="num" w:pos="1080"/>
        </w:tabs>
        <w:ind w:left="1080" w:hanging="360"/>
      </w:pPr>
    </w:lvl>
  </w:abstractNum>
  <w:abstractNum w:abstractNumId="2" w15:restartNumberingAfterBreak="0">
    <w:nsid w:val="FFFFFF80"/>
    <w:multiLevelType w:val="singleLevel"/>
    <w:tmpl w:val="F808CE0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23ED16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380408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D9655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9"/>
    <w:multiLevelType w:val="singleLevel"/>
    <w:tmpl w:val="5EE4EB4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2F0F87"/>
    <w:multiLevelType w:val="hybridMultilevel"/>
    <w:tmpl w:val="EF8EDFF4"/>
    <w:lvl w:ilvl="0" w:tplc="457644D2">
      <w:start w:val="1"/>
      <w:numFmt w:val="bullet"/>
      <w:pStyle w:val="BG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266AA"/>
    <w:multiLevelType w:val="hybridMultilevel"/>
    <w:tmpl w:val="C96A7692"/>
    <w:lvl w:ilvl="0" w:tplc="0282A496">
      <w:start w:val="1"/>
      <w:numFmt w:val="bullet"/>
      <w:lvlText w:val=""/>
      <w:lvlJc w:val="left"/>
      <w:pPr>
        <w:ind w:left="360" w:hanging="360"/>
      </w:pPr>
      <w:rPr>
        <w:rFonts w:ascii="Symbol" w:hAnsi="Symbol" w:hint="default"/>
        <w:color w:val="2297AA" w:themeColor="accent2"/>
        <w:sz w:val="24"/>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F608F6"/>
    <w:multiLevelType w:val="multilevel"/>
    <w:tmpl w:val="1D42E406"/>
    <w:numStyleLink w:val="AffidavitBullets"/>
  </w:abstractNum>
  <w:abstractNum w:abstractNumId="10" w15:restartNumberingAfterBreak="0">
    <w:nsid w:val="0A976D1A"/>
    <w:multiLevelType w:val="hybridMultilevel"/>
    <w:tmpl w:val="9F424492"/>
    <w:lvl w:ilvl="0" w:tplc="7AAA4C56">
      <w:start w:val="1"/>
      <w:numFmt w:val="decimal"/>
      <w:pStyle w:val="TableHeaderNumbered"/>
      <w:lvlText w:val="%1."/>
      <w:lvlJc w:val="center"/>
      <w:pPr>
        <w:ind w:left="360" w:hanging="360"/>
      </w:pPr>
      <w:rPr>
        <w:rFonts w:ascii="Calibri Light" w:hAnsi="Calibri Light"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F7BD1"/>
    <w:multiLevelType w:val="multilevel"/>
    <w:tmpl w:val="97EA756E"/>
    <w:numStyleLink w:val="BrattleNumberedParagraphs"/>
  </w:abstractNum>
  <w:abstractNum w:abstractNumId="12" w15:restartNumberingAfterBreak="0">
    <w:nsid w:val="0E1B51DD"/>
    <w:multiLevelType w:val="multilevel"/>
    <w:tmpl w:val="04090023"/>
    <w:name w:val="Appendix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E6D1B28"/>
    <w:multiLevelType w:val="singleLevel"/>
    <w:tmpl w:val="0282A496"/>
    <w:lvl w:ilvl="0">
      <w:start w:val="1"/>
      <w:numFmt w:val="bullet"/>
      <w:pStyle w:val="ListParagraph3"/>
      <w:lvlText w:val=""/>
      <w:lvlJc w:val="left"/>
      <w:pPr>
        <w:ind w:left="360" w:hanging="360"/>
      </w:pPr>
      <w:rPr>
        <w:rFonts w:ascii="Symbol" w:hAnsi="Symbol" w:hint="default"/>
        <w:color w:val="2297AA" w:themeColor="accent2"/>
        <w:sz w:val="24"/>
        <w:szCs w:val="20"/>
      </w:rPr>
    </w:lvl>
  </w:abstractNum>
  <w:abstractNum w:abstractNumId="14" w15:restartNumberingAfterBreak="0">
    <w:nsid w:val="147E6035"/>
    <w:multiLevelType w:val="multilevel"/>
    <w:tmpl w:val="D8F25C68"/>
    <w:styleLink w:val="BrattleHeadingsNumbered"/>
    <w:lvl w:ilvl="0">
      <w:start w:val="1"/>
      <w:numFmt w:val="upperRoman"/>
      <w:lvlText w:val="%1."/>
      <w:lvlJc w:val="left"/>
      <w:pPr>
        <w:tabs>
          <w:tab w:val="num" w:pos="720"/>
        </w:tabs>
        <w:ind w:left="720" w:hanging="720"/>
      </w:pPr>
      <w:rPr>
        <w:rFonts w:hint="default"/>
        <w:color w:val="1B3D6F" w:themeColor="accent1"/>
      </w:rPr>
    </w:lvl>
    <w:lvl w:ilvl="1">
      <w:start w:val="1"/>
      <w:numFmt w:val="upperLetter"/>
      <w:lvlText w:val="%2."/>
      <w:lvlJc w:val="left"/>
      <w:pPr>
        <w:tabs>
          <w:tab w:val="num" w:pos="720"/>
        </w:tabs>
        <w:ind w:left="720" w:hanging="720"/>
      </w:pPr>
      <w:rPr>
        <w:rFonts w:hint="default"/>
      </w:rPr>
    </w:lvl>
    <w:lvl w:ilvl="2">
      <w:start w:val="1"/>
      <w:numFmt w:val="decimal"/>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9576" w:hanging="360"/>
      </w:pPr>
      <w:rPr>
        <w:rFonts w:hint="default"/>
      </w:rPr>
    </w:lvl>
    <w:lvl w:ilvl="5">
      <w:start w:val="1"/>
      <w:numFmt w:val="lowerRoman"/>
      <w:lvlText w:val="%6."/>
      <w:lvlJc w:val="right"/>
      <w:pPr>
        <w:ind w:left="10296" w:hanging="180"/>
      </w:pPr>
      <w:rPr>
        <w:rFonts w:hint="default"/>
      </w:rPr>
    </w:lvl>
    <w:lvl w:ilvl="6">
      <w:start w:val="1"/>
      <w:numFmt w:val="decimal"/>
      <w:lvlText w:val="%7."/>
      <w:lvlJc w:val="left"/>
      <w:pPr>
        <w:ind w:left="11016" w:hanging="360"/>
      </w:pPr>
      <w:rPr>
        <w:rFonts w:hint="default"/>
      </w:rPr>
    </w:lvl>
    <w:lvl w:ilvl="7">
      <w:start w:val="1"/>
      <w:numFmt w:val="lowerLetter"/>
      <w:lvlText w:val="%8."/>
      <w:lvlJc w:val="left"/>
      <w:pPr>
        <w:ind w:left="11736" w:hanging="360"/>
      </w:pPr>
      <w:rPr>
        <w:rFonts w:hint="default"/>
      </w:rPr>
    </w:lvl>
    <w:lvl w:ilvl="8">
      <w:start w:val="1"/>
      <w:numFmt w:val="lowerRoman"/>
      <w:lvlText w:val="%9."/>
      <w:lvlJc w:val="right"/>
      <w:pPr>
        <w:ind w:left="12456" w:hanging="180"/>
      </w:pPr>
      <w:rPr>
        <w:rFonts w:hint="default"/>
      </w:rPr>
    </w:lvl>
  </w:abstractNum>
  <w:abstractNum w:abstractNumId="15" w15:restartNumberingAfterBreak="0">
    <w:nsid w:val="14B80896"/>
    <w:multiLevelType w:val="multilevel"/>
    <w:tmpl w:val="04090023"/>
    <w:name w:val="Appendix3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7EF66E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4C570F"/>
    <w:multiLevelType w:val="multilevel"/>
    <w:tmpl w:val="DF625618"/>
    <w:numStyleLink w:val="AffidavitNumbers"/>
  </w:abstractNum>
  <w:abstractNum w:abstractNumId="18" w15:restartNumberingAfterBreak="0">
    <w:nsid w:val="1D7D6F52"/>
    <w:multiLevelType w:val="multilevel"/>
    <w:tmpl w:val="920C75FA"/>
    <w:name w:val="Appendix2"/>
    <w:lvl w:ilvl="0">
      <w:start w:val="1"/>
      <w:numFmt w:val="upperLetter"/>
      <w:suff w:val="nothing"/>
      <w:lvlText w:val="Appendix %1 – "/>
      <w:lvlJc w:val="left"/>
      <w:pPr>
        <w:ind w:left="144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288"/>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1FDC759E"/>
    <w:multiLevelType w:val="hybridMultilevel"/>
    <w:tmpl w:val="16A87CD0"/>
    <w:lvl w:ilvl="0" w:tplc="0282A496">
      <w:start w:val="1"/>
      <w:numFmt w:val="bullet"/>
      <w:lvlText w:val=""/>
      <w:lvlJc w:val="left"/>
      <w:pPr>
        <w:ind w:left="360" w:hanging="360"/>
      </w:pPr>
      <w:rPr>
        <w:rFonts w:ascii="Symbol" w:hAnsi="Symbol" w:hint="default"/>
        <w:color w:val="2297AA" w:themeColor="accent2"/>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2815C5"/>
    <w:multiLevelType w:val="multilevel"/>
    <w:tmpl w:val="97EA756E"/>
    <w:styleLink w:val="BrattleNumberedParagraphs"/>
    <w:lvl w:ilvl="0">
      <w:start w:val="1"/>
      <w:numFmt w:val="decimal"/>
      <w:pStyle w:val="ParagraphNumbered"/>
      <w:lvlText w:val="%1."/>
      <w:lvlJc w:val="right"/>
      <w:pPr>
        <w:ind w:left="0" w:hanging="144"/>
      </w:pPr>
      <w:rPr>
        <w:rFonts w:ascii="Calibri" w:hAnsi="Calibri" w:hint="default"/>
        <w:b w:val="0"/>
        <w:i w:val="0"/>
        <w:color w:val="494F56" w:themeColor="background2"/>
        <w:sz w:val="22"/>
      </w:rPr>
    </w:lvl>
    <w:lvl w:ilvl="1">
      <w:start w:val="1"/>
      <w:numFmt w:val="lowerLetter"/>
      <w:pStyle w:val="ParagraphNumbered2"/>
      <w:lvlText w:val="%2."/>
      <w:lvlJc w:val="left"/>
      <w:pPr>
        <w:ind w:left="360" w:hanging="360"/>
      </w:pPr>
      <w:rPr>
        <w:rFonts w:ascii="Calibri" w:hAnsi="Calibri" w:hint="default"/>
        <w:color w:val="494F56" w:themeColor="background2"/>
        <w:sz w:val="22"/>
      </w:rPr>
    </w:lvl>
    <w:lvl w:ilvl="2">
      <w:start w:val="1"/>
      <w:numFmt w:val="lowerRoman"/>
      <w:pStyle w:val="ParagraphNumbered3"/>
      <w:lvlText w:val="%3."/>
      <w:lvlJc w:val="left"/>
      <w:pPr>
        <w:ind w:left="720" w:hanging="360"/>
      </w:pPr>
      <w:rPr>
        <w:rFonts w:hint="default"/>
        <w:color w:val="494F56" w:themeColor="background2"/>
        <w:sz w:val="22"/>
      </w:rPr>
    </w:lvl>
    <w:lvl w:ilvl="3">
      <w:start w:val="1"/>
      <w:numFmt w:val="decimal"/>
      <w:pStyle w:val="ParagraphNumbered4"/>
      <w:lvlText w:val="(%4)"/>
      <w:lvlJc w:val="left"/>
      <w:pPr>
        <w:ind w:left="1080" w:hanging="360"/>
      </w:pPr>
      <w:rPr>
        <w:rFonts w:hint="default"/>
        <w:color w:val="494F56" w:themeColor="background2"/>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1" w15:restartNumberingAfterBreak="0">
    <w:nsid w:val="27EA73A9"/>
    <w:multiLevelType w:val="multilevel"/>
    <w:tmpl w:val="1D42E406"/>
    <w:styleLink w:val="AffidavitBullets"/>
    <w:lvl w:ilvl="0">
      <w:start w:val="1"/>
      <w:numFmt w:val="bullet"/>
      <w:pStyle w:val="AffidavitListParagraph"/>
      <w:lvlText w:val=""/>
      <w:lvlJc w:val="left"/>
      <w:pPr>
        <w:ind w:left="288" w:hanging="288"/>
      </w:pPr>
      <w:rPr>
        <w:rFonts w:ascii="Symbol" w:hAnsi="Symbol" w:hint="default"/>
        <w:color w:val="000000" w:themeColor="text1"/>
      </w:rPr>
    </w:lvl>
    <w:lvl w:ilvl="1">
      <w:start w:val="1"/>
      <w:numFmt w:val="bullet"/>
      <w:lvlText w:val="–"/>
      <w:lvlJc w:val="left"/>
      <w:pPr>
        <w:ind w:left="576" w:hanging="288"/>
      </w:pPr>
      <w:rPr>
        <w:rFonts w:ascii="Times New Roman Bold" w:hAnsi="Times New Roman Bold" w:cs="Times New Roman" w:hint="default"/>
        <w:b/>
        <w:i w:val="0"/>
      </w:rPr>
    </w:lvl>
    <w:lvl w:ilvl="2">
      <w:start w:val="1"/>
      <w:numFmt w:val="bullet"/>
      <w:lvlText w:val=""/>
      <w:lvlJc w:val="left"/>
      <w:pPr>
        <w:ind w:left="864" w:hanging="288"/>
      </w:pPr>
      <w:rPr>
        <w:rFonts w:ascii="Wingdings 3" w:hAnsi="Wingdings 3" w:hint="default"/>
        <w:color w:val="000000" w:themeColor="text1"/>
        <w:sz w:val="1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F05CC2"/>
    <w:multiLevelType w:val="hybridMultilevel"/>
    <w:tmpl w:val="6CBA8BDA"/>
    <w:lvl w:ilvl="0" w:tplc="714CC8B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227E6"/>
    <w:multiLevelType w:val="multilevel"/>
    <w:tmpl w:val="77A0C9D4"/>
    <w:lvl w:ilvl="0">
      <w:start w:val="2"/>
      <w:numFmt w:val="upperLetter"/>
      <w:pStyle w:val="Heading1Affidavit"/>
      <w:lvlText w:val="%1."/>
      <w:lvlJc w:val="left"/>
      <w:pPr>
        <w:ind w:left="360" w:hanging="360"/>
      </w:pPr>
      <w:rPr>
        <w:rFonts w:hint="default"/>
      </w:rPr>
    </w:lvl>
    <w:lvl w:ilvl="1">
      <w:start w:val="1"/>
      <w:numFmt w:val="decimal"/>
      <w:pStyle w:val="Heading2Affidavit"/>
      <w:lvlText w:val="%1.%2."/>
      <w:lvlJc w:val="left"/>
      <w:pPr>
        <w:ind w:left="576" w:hanging="576"/>
      </w:pPr>
      <w:rPr>
        <w:rFonts w:hint="default"/>
      </w:rPr>
    </w:lvl>
    <w:lvl w:ilvl="2">
      <w:start w:val="1"/>
      <w:numFmt w:val="decimal"/>
      <w:pStyle w:val="Heading3Affidavit"/>
      <w:lvlText w:val="%1.%2.%3."/>
      <w:lvlJc w:val="left"/>
      <w:pPr>
        <w:ind w:left="864" w:hanging="864"/>
      </w:pPr>
      <w:rPr>
        <w:rFonts w:hint="default"/>
      </w:rPr>
    </w:lvl>
    <w:lvl w:ilvl="3">
      <w:start w:val="1"/>
      <w:numFmt w:val="decimal"/>
      <w:pStyle w:val="Heading4Affidavit"/>
      <w:lvlText w:val="%1.%2.%3.%4."/>
      <w:lvlJc w:val="left"/>
      <w:pPr>
        <w:ind w:left="1152" w:hanging="115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CCE058F"/>
    <w:multiLevelType w:val="multilevel"/>
    <w:tmpl w:val="248EBE7A"/>
    <w:styleLink w:val="BrattleAppendixNumbers"/>
    <w:lvl w:ilvl="0">
      <w:start w:val="1"/>
      <w:numFmt w:val="upperLetter"/>
      <w:pStyle w:val="AppendixHeading1"/>
      <w:suff w:val="nothing"/>
      <w:lvlText w:val="Appendi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1152" w:hanging="1152"/>
      </w:pPr>
      <w:rPr>
        <w:rFonts w:hint="default"/>
        <w:b w:val="0"/>
        <w:i w:val="0"/>
        <w:color w:val="494F56" w:themeColor="background2"/>
        <w:sz w:val="41"/>
      </w:rPr>
    </w:lvl>
    <w:lvl w:ilvl="2">
      <w:start w:val="1"/>
      <w:numFmt w:val="lowerLetter"/>
      <w:pStyle w:val="AppendixHeading3"/>
      <w:lvlText w:val="%1.%2.%3"/>
      <w:lvlJc w:val="left"/>
      <w:pPr>
        <w:ind w:left="1152" w:hanging="1152"/>
      </w:pPr>
      <w:rPr>
        <w:rFonts w:hint="default"/>
        <w:b/>
        <w:i w:val="0"/>
        <w:color w:val="494F56" w:themeColor="background2"/>
        <w:sz w:val="34"/>
      </w:rPr>
    </w:lvl>
    <w:lvl w:ilvl="3">
      <w:start w:val="1"/>
      <w:numFmt w:val="lowerRoman"/>
      <w:pStyle w:val="AppendixHeading4"/>
      <w:lvlText w:val="%1.%2.%3.%4"/>
      <w:lvlJc w:val="left"/>
      <w:pPr>
        <w:ind w:left="1152" w:hanging="1152"/>
      </w:pPr>
      <w:rPr>
        <w:rFonts w:hint="default"/>
        <w:b/>
        <w:i w:val="0"/>
        <w:color w:val="2297AA" w:themeColor="accent2"/>
        <w:sz w:val="29"/>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5" w15:restartNumberingAfterBreak="0">
    <w:nsid w:val="32290709"/>
    <w:multiLevelType w:val="multilevel"/>
    <w:tmpl w:val="DF625618"/>
    <w:styleLink w:val="AffidavitNumbers"/>
    <w:lvl w:ilvl="0">
      <w:start w:val="1"/>
      <w:numFmt w:val="decimal"/>
      <w:pStyle w:val="AffidavitNumberedParagraph"/>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843C45"/>
    <w:multiLevelType w:val="hybridMultilevel"/>
    <w:tmpl w:val="AD5E851C"/>
    <w:lvl w:ilvl="0" w:tplc="9CD292B8">
      <w:start w:val="1"/>
      <w:numFmt w:val="bullet"/>
      <w:lvlText w:val=""/>
      <w:lvlJc w:val="left"/>
      <w:pPr>
        <w:ind w:left="720" w:hanging="360"/>
      </w:pPr>
      <w:rPr>
        <w:rFonts w:ascii="Symbol" w:hAnsi="Symbol" w:hint="default"/>
        <w:color w:val="2297AA" w:themeColor="accent2"/>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7474A"/>
    <w:multiLevelType w:val="hybridMultilevel"/>
    <w:tmpl w:val="E7FAE06E"/>
    <w:lvl w:ilvl="0" w:tplc="04090013">
      <w:start w:val="1"/>
      <w:numFmt w:val="bullet"/>
      <w:pStyle w:val="CalloutBullets"/>
      <w:lvlText w:val=""/>
      <w:lvlJc w:val="left"/>
      <w:pPr>
        <w:ind w:left="360" w:hanging="360"/>
      </w:pPr>
      <w:rPr>
        <w:rFonts w:ascii="Symbol" w:hAnsi="Symbol" w:hint="default"/>
        <w:color w:val="00A8C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38DB7177"/>
    <w:multiLevelType w:val="multilevel"/>
    <w:tmpl w:val="FA2ABA6A"/>
    <w:lvl w:ilvl="0">
      <w:start w:val="1"/>
      <w:numFmt w:val="decimal"/>
      <w:pStyle w:val="TestimonyAParagraph"/>
      <w:lvlText w:val="A%1:"/>
      <w:lvlJc w:val="left"/>
      <w:pPr>
        <w:ind w:left="576" w:hanging="576"/>
      </w:pPr>
      <w:rPr>
        <w:rFonts w:hint="default"/>
      </w:rPr>
    </w:lvl>
    <w:lvl w:ilvl="1">
      <w:start w:val="1"/>
      <w:numFmt w:val="none"/>
      <w:lvlText w:val=""/>
      <w:lvlJc w:val="left"/>
      <w:pPr>
        <w:tabs>
          <w:tab w:val="num" w:pos="576"/>
        </w:tabs>
        <w:ind w:left="576" w:firstLine="0"/>
      </w:pPr>
      <w:rPr>
        <w:rFonts w:hint="default"/>
        <w:b/>
        <w:i w:val="0"/>
      </w:rPr>
    </w:lvl>
    <w:lvl w:ilvl="2">
      <w:start w:val="1"/>
      <w:numFmt w:val="bullet"/>
      <w:lvlText w:val=""/>
      <w:lvlJc w:val="left"/>
      <w:pPr>
        <w:ind w:left="864" w:hanging="288"/>
      </w:pPr>
      <w:rPr>
        <w:rFonts w:ascii="Symbol" w:hAnsi="Symbol" w:hint="default"/>
        <w:color w:val="000000" w:themeColor="text1"/>
        <w:sz w:val="2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9664F08"/>
    <w:multiLevelType w:val="hybridMultilevel"/>
    <w:tmpl w:val="5816CF08"/>
    <w:lvl w:ilvl="0" w:tplc="7BD63D20">
      <w:start w:val="1"/>
      <w:numFmt w:val="bullet"/>
      <w:pStyle w:val="FigureSourceBullets"/>
      <w:lvlText w:val="–"/>
      <w:lvlJc w:val="left"/>
      <w:pPr>
        <w:ind w:left="360" w:hanging="360"/>
      </w:pPr>
      <w:rPr>
        <w:rFonts w:ascii="Calibri" w:hAnsi="Calibri" w:hint="default"/>
        <w:b/>
        <w:i w:val="0"/>
        <w:color w:val="2297AA" w:themeColor="accent2"/>
      </w:rPr>
    </w:lvl>
    <w:lvl w:ilvl="1" w:tplc="6FFA4070" w:tentative="1">
      <w:start w:val="1"/>
      <w:numFmt w:val="bullet"/>
      <w:lvlText w:val="o"/>
      <w:lvlJc w:val="left"/>
      <w:pPr>
        <w:ind w:left="1440" w:hanging="360"/>
      </w:pPr>
      <w:rPr>
        <w:rFonts w:ascii="Courier New" w:hAnsi="Courier New" w:cs="Courier New" w:hint="default"/>
      </w:rPr>
    </w:lvl>
    <w:lvl w:ilvl="2" w:tplc="86D2C3CE" w:tentative="1">
      <w:start w:val="1"/>
      <w:numFmt w:val="bullet"/>
      <w:lvlText w:val=""/>
      <w:lvlJc w:val="left"/>
      <w:pPr>
        <w:ind w:left="2160" w:hanging="360"/>
      </w:pPr>
      <w:rPr>
        <w:rFonts w:ascii="Wingdings" w:hAnsi="Wingdings" w:hint="default"/>
      </w:rPr>
    </w:lvl>
    <w:lvl w:ilvl="3" w:tplc="543E35D6" w:tentative="1">
      <w:start w:val="1"/>
      <w:numFmt w:val="bullet"/>
      <w:lvlText w:val=""/>
      <w:lvlJc w:val="left"/>
      <w:pPr>
        <w:ind w:left="2880" w:hanging="360"/>
      </w:pPr>
      <w:rPr>
        <w:rFonts w:ascii="Symbol" w:hAnsi="Symbol" w:hint="default"/>
      </w:rPr>
    </w:lvl>
    <w:lvl w:ilvl="4" w:tplc="9B6E62E4" w:tentative="1">
      <w:start w:val="1"/>
      <w:numFmt w:val="bullet"/>
      <w:lvlText w:val="o"/>
      <w:lvlJc w:val="left"/>
      <w:pPr>
        <w:ind w:left="3600" w:hanging="360"/>
      </w:pPr>
      <w:rPr>
        <w:rFonts w:ascii="Courier New" w:hAnsi="Courier New" w:cs="Courier New" w:hint="default"/>
      </w:rPr>
    </w:lvl>
    <w:lvl w:ilvl="5" w:tplc="22C42358" w:tentative="1">
      <w:start w:val="1"/>
      <w:numFmt w:val="bullet"/>
      <w:lvlText w:val=""/>
      <w:lvlJc w:val="left"/>
      <w:pPr>
        <w:ind w:left="4320" w:hanging="360"/>
      </w:pPr>
      <w:rPr>
        <w:rFonts w:ascii="Wingdings" w:hAnsi="Wingdings" w:hint="default"/>
      </w:rPr>
    </w:lvl>
    <w:lvl w:ilvl="6" w:tplc="4A7E1596" w:tentative="1">
      <w:start w:val="1"/>
      <w:numFmt w:val="bullet"/>
      <w:lvlText w:val=""/>
      <w:lvlJc w:val="left"/>
      <w:pPr>
        <w:ind w:left="5040" w:hanging="360"/>
      </w:pPr>
      <w:rPr>
        <w:rFonts w:ascii="Symbol" w:hAnsi="Symbol" w:hint="default"/>
      </w:rPr>
    </w:lvl>
    <w:lvl w:ilvl="7" w:tplc="8F2AE73A" w:tentative="1">
      <w:start w:val="1"/>
      <w:numFmt w:val="bullet"/>
      <w:lvlText w:val="o"/>
      <w:lvlJc w:val="left"/>
      <w:pPr>
        <w:ind w:left="5760" w:hanging="360"/>
      </w:pPr>
      <w:rPr>
        <w:rFonts w:ascii="Courier New" w:hAnsi="Courier New" w:cs="Courier New" w:hint="default"/>
      </w:rPr>
    </w:lvl>
    <w:lvl w:ilvl="8" w:tplc="1BCCD276" w:tentative="1">
      <w:start w:val="1"/>
      <w:numFmt w:val="bullet"/>
      <w:lvlText w:val=""/>
      <w:lvlJc w:val="left"/>
      <w:pPr>
        <w:ind w:left="6480" w:hanging="360"/>
      </w:pPr>
      <w:rPr>
        <w:rFonts w:ascii="Wingdings" w:hAnsi="Wingdings" w:hint="default"/>
      </w:rPr>
    </w:lvl>
  </w:abstractNum>
  <w:abstractNum w:abstractNumId="30" w15:restartNumberingAfterBreak="0">
    <w:nsid w:val="3A406BB0"/>
    <w:multiLevelType w:val="hybridMultilevel"/>
    <w:tmpl w:val="FEB62978"/>
    <w:lvl w:ilvl="0" w:tplc="9CD292B8">
      <w:start w:val="1"/>
      <w:numFmt w:val="bullet"/>
      <w:lvlText w:val=""/>
      <w:lvlJc w:val="left"/>
      <w:pPr>
        <w:ind w:left="360" w:hanging="360"/>
      </w:pPr>
      <w:rPr>
        <w:rFonts w:ascii="Symbol" w:hAnsi="Symbol" w:hint="default"/>
        <w:color w:val="2297AA" w:themeColor="accent2"/>
        <w:sz w:val="24"/>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BB6A98"/>
    <w:multiLevelType w:val="multilevel"/>
    <w:tmpl w:val="06F6898C"/>
    <w:styleLink w:val="BrattleBullets"/>
    <w:lvl w:ilvl="0">
      <w:start w:val="1"/>
      <w:numFmt w:val="bullet"/>
      <w:lvlText w:val=""/>
      <w:lvlJc w:val="left"/>
      <w:pPr>
        <w:ind w:left="360" w:hanging="360"/>
      </w:pPr>
      <w:rPr>
        <w:rFonts w:ascii="Symbol" w:hAnsi="Symbol" w:hint="default"/>
        <w:color w:val="2297AA" w:themeColor="accent2"/>
      </w:rPr>
    </w:lvl>
    <w:lvl w:ilvl="1">
      <w:start w:val="1"/>
      <w:numFmt w:val="bullet"/>
      <w:lvlText w:val="–"/>
      <w:lvlJc w:val="left"/>
      <w:pPr>
        <w:ind w:left="720" w:hanging="360"/>
      </w:pPr>
      <w:rPr>
        <w:rFonts w:ascii="Calibri" w:hAnsi="Calibri" w:hint="default"/>
        <w:b/>
        <w:i w:val="0"/>
        <w:color w:val="2297AA" w:themeColor="accent2"/>
      </w:rPr>
    </w:lvl>
    <w:lvl w:ilvl="2">
      <w:start w:val="1"/>
      <w:numFmt w:val="bullet"/>
      <w:lvlText w:val=""/>
      <w:lvlJc w:val="left"/>
      <w:pPr>
        <w:ind w:left="1080" w:hanging="360"/>
      </w:pPr>
      <w:rPr>
        <w:rFonts w:ascii="Wingdings 3" w:hAnsi="Wingdings 3" w:hint="default"/>
        <w:color w:val="494F56" w:themeColor="background2"/>
        <w:sz w:val="16"/>
      </w:rPr>
    </w:lvl>
    <w:lvl w:ilvl="3">
      <w:start w:val="1"/>
      <w:numFmt w:val="bullet"/>
      <w:lvlText w:val=""/>
      <w:lvlJc w:val="left"/>
      <w:pPr>
        <w:ind w:left="1440" w:hanging="360"/>
      </w:pPr>
      <w:rPr>
        <w:rFonts w:ascii="Symbol" w:hAnsi="Symbol" w:hint="default"/>
        <w:color w:val="494F56" w:themeColor="background2"/>
      </w:rPr>
    </w:lvl>
    <w:lvl w:ilvl="4">
      <w:start w:val="1"/>
      <w:numFmt w:val="none"/>
      <w:lvlText w:val=""/>
      <w:lvlJc w:val="left"/>
      <w:pPr>
        <w:ind w:left="1152" w:firstLine="0"/>
      </w:pPr>
      <w:rPr>
        <w:rFonts w:hint="default"/>
      </w:rPr>
    </w:lvl>
    <w:lvl w:ilvl="5">
      <w:start w:val="1"/>
      <w:numFmt w:val="none"/>
      <w:lvlText w:val=""/>
      <w:lvlJc w:val="left"/>
      <w:pPr>
        <w:ind w:left="1152" w:firstLine="0"/>
      </w:pPr>
      <w:rPr>
        <w:rFonts w:hint="default"/>
      </w:rPr>
    </w:lvl>
    <w:lvl w:ilvl="6">
      <w:start w:val="1"/>
      <w:numFmt w:val="none"/>
      <w:lvlText w:val=""/>
      <w:lvlJc w:val="left"/>
      <w:pPr>
        <w:ind w:left="1152" w:firstLine="0"/>
      </w:pPr>
      <w:rPr>
        <w:rFonts w:hint="default"/>
      </w:rPr>
    </w:lvl>
    <w:lvl w:ilvl="7">
      <w:start w:val="1"/>
      <w:numFmt w:val="none"/>
      <w:lvlText w:val=""/>
      <w:lvlJc w:val="left"/>
      <w:pPr>
        <w:ind w:left="1152" w:firstLine="0"/>
      </w:pPr>
      <w:rPr>
        <w:rFonts w:hint="default"/>
      </w:rPr>
    </w:lvl>
    <w:lvl w:ilvl="8">
      <w:start w:val="1"/>
      <w:numFmt w:val="none"/>
      <w:lvlText w:val=""/>
      <w:lvlJc w:val="left"/>
      <w:pPr>
        <w:ind w:left="1152" w:firstLine="0"/>
      </w:pPr>
      <w:rPr>
        <w:rFonts w:hint="default"/>
      </w:rPr>
    </w:lvl>
  </w:abstractNum>
  <w:abstractNum w:abstractNumId="32" w15:restartNumberingAfterBreak="0">
    <w:nsid w:val="3D604962"/>
    <w:multiLevelType w:val="hybridMultilevel"/>
    <w:tmpl w:val="FE04907E"/>
    <w:lvl w:ilvl="0" w:tplc="62EC70C0">
      <w:start w:val="1"/>
      <w:numFmt w:val="bullet"/>
      <w:lvlText w:val=""/>
      <w:lvlJc w:val="left"/>
      <w:pPr>
        <w:ind w:left="540" w:hanging="360"/>
      </w:pPr>
      <w:rPr>
        <w:rFonts w:ascii="Symbol" w:hAnsi="Symbol" w:hint="default"/>
        <w:color w:val="2297AA" w:themeColor="accent2"/>
        <w:sz w:val="24"/>
        <w:szCs w:val="20"/>
      </w:rPr>
    </w:lvl>
    <w:lvl w:ilvl="1" w:tplc="D85E2132">
      <w:start w:val="1"/>
      <w:numFmt w:val="bullet"/>
      <w:lvlText w:val="o"/>
      <w:lvlJc w:val="left"/>
      <w:pPr>
        <w:ind w:left="1260" w:hanging="360"/>
      </w:pPr>
      <w:rPr>
        <w:rFonts w:ascii="Courier New" w:hAnsi="Courier New" w:cs="Courier New" w:hint="default"/>
      </w:rPr>
    </w:lvl>
    <w:lvl w:ilvl="2" w:tplc="BEBCE680" w:tentative="1">
      <w:start w:val="1"/>
      <w:numFmt w:val="bullet"/>
      <w:lvlText w:val=""/>
      <w:lvlJc w:val="left"/>
      <w:pPr>
        <w:ind w:left="1980" w:hanging="360"/>
      </w:pPr>
      <w:rPr>
        <w:rFonts w:ascii="Wingdings" w:hAnsi="Wingdings" w:hint="default"/>
      </w:rPr>
    </w:lvl>
    <w:lvl w:ilvl="3" w:tplc="4B9AD190" w:tentative="1">
      <w:start w:val="1"/>
      <w:numFmt w:val="bullet"/>
      <w:lvlText w:val=""/>
      <w:lvlJc w:val="left"/>
      <w:pPr>
        <w:ind w:left="2700" w:hanging="360"/>
      </w:pPr>
      <w:rPr>
        <w:rFonts w:ascii="Symbol" w:hAnsi="Symbol" w:hint="default"/>
      </w:rPr>
    </w:lvl>
    <w:lvl w:ilvl="4" w:tplc="12F45992" w:tentative="1">
      <w:start w:val="1"/>
      <w:numFmt w:val="bullet"/>
      <w:lvlText w:val="o"/>
      <w:lvlJc w:val="left"/>
      <w:pPr>
        <w:ind w:left="3420" w:hanging="360"/>
      </w:pPr>
      <w:rPr>
        <w:rFonts w:ascii="Courier New" w:hAnsi="Courier New" w:cs="Courier New" w:hint="default"/>
      </w:rPr>
    </w:lvl>
    <w:lvl w:ilvl="5" w:tplc="A9ACA318" w:tentative="1">
      <w:start w:val="1"/>
      <w:numFmt w:val="bullet"/>
      <w:lvlText w:val=""/>
      <w:lvlJc w:val="left"/>
      <w:pPr>
        <w:ind w:left="4140" w:hanging="360"/>
      </w:pPr>
      <w:rPr>
        <w:rFonts w:ascii="Wingdings" w:hAnsi="Wingdings" w:hint="default"/>
      </w:rPr>
    </w:lvl>
    <w:lvl w:ilvl="6" w:tplc="451EE9EA" w:tentative="1">
      <w:start w:val="1"/>
      <w:numFmt w:val="bullet"/>
      <w:lvlText w:val=""/>
      <w:lvlJc w:val="left"/>
      <w:pPr>
        <w:ind w:left="4860" w:hanging="360"/>
      </w:pPr>
      <w:rPr>
        <w:rFonts w:ascii="Symbol" w:hAnsi="Symbol" w:hint="default"/>
      </w:rPr>
    </w:lvl>
    <w:lvl w:ilvl="7" w:tplc="458C77B0" w:tentative="1">
      <w:start w:val="1"/>
      <w:numFmt w:val="bullet"/>
      <w:lvlText w:val="o"/>
      <w:lvlJc w:val="left"/>
      <w:pPr>
        <w:ind w:left="5580" w:hanging="360"/>
      </w:pPr>
      <w:rPr>
        <w:rFonts w:ascii="Courier New" w:hAnsi="Courier New" w:cs="Courier New" w:hint="default"/>
      </w:rPr>
    </w:lvl>
    <w:lvl w:ilvl="8" w:tplc="377CF720" w:tentative="1">
      <w:start w:val="1"/>
      <w:numFmt w:val="bullet"/>
      <w:lvlText w:val=""/>
      <w:lvlJc w:val="left"/>
      <w:pPr>
        <w:ind w:left="6300" w:hanging="360"/>
      </w:pPr>
      <w:rPr>
        <w:rFonts w:ascii="Wingdings" w:hAnsi="Wingdings" w:hint="default"/>
      </w:rPr>
    </w:lvl>
  </w:abstractNum>
  <w:abstractNum w:abstractNumId="33" w15:restartNumberingAfterBreak="0">
    <w:nsid w:val="3D8D0714"/>
    <w:multiLevelType w:val="hybridMultilevel"/>
    <w:tmpl w:val="0DCED5AE"/>
    <w:lvl w:ilvl="0" w:tplc="0282A496">
      <w:start w:val="1"/>
      <w:numFmt w:val="bullet"/>
      <w:pStyle w:val="BulletedList"/>
      <w:lvlText w:val=""/>
      <w:lvlJc w:val="left"/>
      <w:pPr>
        <w:tabs>
          <w:tab w:val="num" w:pos="576"/>
        </w:tabs>
        <w:ind w:left="576" w:hanging="576"/>
      </w:pPr>
      <w:rPr>
        <w:rFonts w:ascii="Symbol" w:hAnsi="Symbol" w:hint="default"/>
        <w:color w:val="00467F"/>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3FCB7E50"/>
    <w:multiLevelType w:val="hybridMultilevel"/>
    <w:tmpl w:val="1A72D5C0"/>
    <w:lvl w:ilvl="0" w:tplc="0E5EA758">
      <w:start w:val="1"/>
      <w:numFmt w:val="bullet"/>
      <w:lvlText w:val=""/>
      <w:lvlJc w:val="left"/>
      <w:pPr>
        <w:ind w:left="547" w:hanging="360"/>
      </w:pPr>
      <w:rPr>
        <w:rFonts w:ascii="Symbol" w:hAnsi="Symbol" w:hint="default"/>
        <w:color w:val="2297AA" w:themeColor="accent2"/>
        <w:sz w:val="24"/>
        <w:szCs w:val="20"/>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5" w15:restartNumberingAfterBreak="0">
    <w:nsid w:val="473E593A"/>
    <w:multiLevelType w:val="hybridMultilevel"/>
    <w:tmpl w:val="97180B4E"/>
    <w:lvl w:ilvl="0" w:tplc="0282A496">
      <w:start w:val="1"/>
      <w:numFmt w:val="bullet"/>
      <w:lvlText w:val=""/>
      <w:lvlJc w:val="left"/>
      <w:pPr>
        <w:ind w:left="360" w:hanging="360"/>
      </w:pPr>
      <w:rPr>
        <w:rFonts w:ascii="Symbol" w:hAnsi="Symbol" w:hint="default"/>
        <w:color w:val="2297AA" w:themeColor="accent2"/>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4A231D"/>
    <w:multiLevelType w:val="hybridMultilevel"/>
    <w:tmpl w:val="77E61E08"/>
    <w:lvl w:ilvl="0" w:tplc="9B101CB0">
      <w:start w:val="1"/>
      <w:numFmt w:val="bullet"/>
      <w:lvlText w:val=""/>
      <w:lvlJc w:val="left"/>
      <w:pPr>
        <w:ind w:left="360" w:hanging="360"/>
      </w:pPr>
      <w:rPr>
        <w:rFonts w:ascii="Symbol" w:hAnsi="Symbol" w:hint="default"/>
        <w:color w:val="2297AA" w:themeColor="accent2"/>
        <w:sz w:val="24"/>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174E7A"/>
    <w:multiLevelType w:val="multilevel"/>
    <w:tmpl w:val="2E365D60"/>
    <w:styleLink w:val="BrattleHeadings"/>
    <w:lvl w:ilvl="0">
      <w:start w:val="1"/>
      <w:numFmt w:val="upperRoman"/>
      <w:pStyle w:val="Heading1"/>
      <w:lvlText w:val="%1."/>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color w:val="1B3D6F" w:themeColor="accent1"/>
        <w:spacing w:val="0"/>
        <w:kern w:val="0"/>
        <w:position w:val="0"/>
        <w:sz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hanging="720"/>
      </w:pPr>
      <w:rPr>
        <w:rFonts w:ascii="Calibri" w:hAnsi="Calibri" w:cs="Calibri" w:hint="default"/>
        <w:b w:val="0"/>
        <w:i w:val="0"/>
        <w:color w:val="404040" w:themeColor="text1" w:themeTint="BF"/>
        <w:sz w:val="41"/>
      </w:rPr>
    </w:lvl>
    <w:lvl w:ilvl="2">
      <w:start w:val="1"/>
      <w:numFmt w:val="decimal"/>
      <w:pStyle w:val="Heading3"/>
      <w:lvlText w:val="%3."/>
      <w:lvlJc w:val="left"/>
      <w:pPr>
        <w:ind w:left="720" w:hanging="720"/>
      </w:pPr>
      <w:rPr>
        <w:rFonts w:ascii="Calibri" w:hAnsi="Calibri" w:cs="Calibri" w:hint="default"/>
        <w:b/>
        <w:i w:val="0"/>
        <w:color w:val="404040" w:themeColor="text1" w:themeTint="BF"/>
        <w:sz w:val="34"/>
      </w:rPr>
    </w:lvl>
    <w:lvl w:ilvl="3">
      <w:start w:val="1"/>
      <w:numFmt w:val="lowerLetter"/>
      <w:pStyle w:val="Heading4"/>
      <w:lvlText w:val="%4."/>
      <w:lvlJc w:val="left"/>
      <w:pPr>
        <w:ind w:left="720" w:hanging="720"/>
      </w:pPr>
      <w:rPr>
        <w:rFonts w:ascii="Calibri" w:hAnsi="Calibri" w:cs="Calibri" w:hint="default"/>
        <w:b/>
        <w:i w:val="0"/>
        <w:color w:val="2297AA" w:themeColor="accent2"/>
        <w:sz w:val="29"/>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18C212B"/>
    <w:multiLevelType w:val="multilevel"/>
    <w:tmpl w:val="2640E3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39" w15:restartNumberingAfterBreak="0">
    <w:nsid w:val="561E7BE0"/>
    <w:multiLevelType w:val="hybridMultilevel"/>
    <w:tmpl w:val="20F6ECC4"/>
    <w:lvl w:ilvl="0" w:tplc="0282A496">
      <w:start w:val="1"/>
      <w:numFmt w:val="bullet"/>
      <w:lvlText w:val=""/>
      <w:lvlJc w:val="left"/>
      <w:pPr>
        <w:ind w:left="360" w:hanging="360"/>
      </w:pPr>
      <w:rPr>
        <w:rFonts w:ascii="Symbol" w:hAnsi="Symbol" w:hint="default"/>
        <w:color w:val="2297AA" w:themeColor="accent2"/>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F92593"/>
    <w:multiLevelType w:val="hybridMultilevel"/>
    <w:tmpl w:val="4A40E71E"/>
    <w:lvl w:ilvl="0" w:tplc="9CD292B8">
      <w:start w:val="1"/>
      <w:numFmt w:val="bullet"/>
      <w:lvlText w:val=""/>
      <w:lvlJc w:val="left"/>
      <w:pPr>
        <w:ind w:left="720" w:hanging="360"/>
      </w:pPr>
      <w:rPr>
        <w:rFonts w:ascii="Symbol" w:hAnsi="Symbol" w:hint="default"/>
        <w:color w:val="2297AA" w:themeColor="accent2"/>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12B4F"/>
    <w:multiLevelType w:val="multilevel"/>
    <w:tmpl w:val="50901656"/>
    <w:styleLink w:val="BrattleNumbers"/>
    <w:lvl w:ilvl="0">
      <w:start w:val="1"/>
      <w:numFmt w:val="decimal"/>
      <w:pStyle w:val="ListNumber"/>
      <w:lvlText w:val="%1."/>
      <w:lvlJc w:val="left"/>
      <w:pPr>
        <w:ind w:left="360" w:hanging="360"/>
      </w:pPr>
      <w:rPr>
        <w:rFonts w:hint="default"/>
        <w:b/>
        <w:i w:val="0"/>
        <w:color w:val="2297AA" w:themeColor="accent2"/>
      </w:rPr>
    </w:lvl>
    <w:lvl w:ilvl="1">
      <w:start w:val="1"/>
      <w:numFmt w:val="lowerLetter"/>
      <w:pStyle w:val="ListNumber2"/>
      <w:lvlText w:val="%2."/>
      <w:lvlJc w:val="left"/>
      <w:pPr>
        <w:ind w:left="720" w:hanging="360"/>
      </w:pPr>
      <w:rPr>
        <w:rFonts w:hint="default"/>
        <w:color w:val="2297AA" w:themeColor="accent2"/>
      </w:rPr>
    </w:lvl>
    <w:lvl w:ilvl="2">
      <w:start w:val="1"/>
      <w:numFmt w:val="lowerRoman"/>
      <w:pStyle w:val="ListNumber3"/>
      <w:lvlText w:val="%3."/>
      <w:lvlJc w:val="left"/>
      <w:pPr>
        <w:ind w:left="1080" w:hanging="360"/>
      </w:pPr>
      <w:rPr>
        <w:rFonts w:hint="default"/>
        <w:b/>
        <w:i w:val="0"/>
        <w:color w:val="494F56" w:themeColor="background2"/>
      </w:rPr>
    </w:lvl>
    <w:lvl w:ilvl="3">
      <w:start w:val="1"/>
      <w:numFmt w:val="decimal"/>
      <w:pStyle w:val="ListNumber4"/>
      <w:lvlText w:val="(%4)"/>
      <w:lvlJc w:val="left"/>
      <w:pPr>
        <w:ind w:left="1440" w:hanging="360"/>
      </w:pPr>
      <w:rPr>
        <w:rFonts w:hint="default"/>
        <w:color w:val="494F56" w:themeColor="background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625D5119"/>
    <w:multiLevelType w:val="hybridMultilevel"/>
    <w:tmpl w:val="F2485296"/>
    <w:lvl w:ilvl="0" w:tplc="714CC8B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FE6FBA"/>
    <w:multiLevelType w:val="multilevel"/>
    <w:tmpl w:val="E36E7C5C"/>
    <w:lvl w:ilvl="0">
      <w:start w:val="1"/>
      <w:numFmt w:val="decimal"/>
      <w:pStyle w:val="TestimonyQParagraph"/>
      <w:lvlText w:val="Q%1:"/>
      <w:lvlJc w:val="left"/>
      <w:pPr>
        <w:ind w:left="576" w:hanging="576"/>
      </w:pPr>
      <w:rPr>
        <w:rFonts w:hint="default"/>
      </w:rPr>
    </w:lvl>
    <w:lvl w:ilvl="1">
      <w:start w:val="1"/>
      <w:numFmt w:val="none"/>
      <w:lvlText w:val=""/>
      <w:lvlJc w:val="left"/>
      <w:pPr>
        <w:tabs>
          <w:tab w:val="num" w:pos="576"/>
        </w:tabs>
        <w:ind w:left="576" w:firstLine="0"/>
      </w:pPr>
      <w:rPr>
        <w:rFonts w:hint="default"/>
        <w:b/>
        <w:i w:val="0"/>
      </w:rPr>
    </w:lvl>
    <w:lvl w:ilvl="2">
      <w:start w:val="1"/>
      <w:numFmt w:val="bullet"/>
      <w:lvlText w:val=""/>
      <w:lvlJc w:val="left"/>
      <w:pPr>
        <w:ind w:left="864" w:hanging="288"/>
      </w:pPr>
      <w:rPr>
        <w:rFonts w:ascii="Symbol" w:hAnsi="Symbol" w:hint="default"/>
        <w:color w:val="000000" w:themeColor="text1"/>
        <w:sz w:val="2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5C51396"/>
    <w:multiLevelType w:val="hybridMultilevel"/>
    <w:tmpl w:val="45E83D50"/>
    <w:lvl w:ilvl="0" w:tplc="9CD292B8">
      <w:start w:val="1"/>
      <w:numFmt w:val="bullet"/>
      <w:lvlText w:val=""/>
      <w:lvlJc w:val="left"/>
      <w:pPr>
        <w:ind w:left="720" w:hanging="360"/>
      </w:pPr>
      <w:rPr>
        <w:rFonts w:ascii="Symbol" w:hAnsi="Symbol" w:hint="default"/>
        <w:color w:val="2297AA" w:themeColor="accent2"/>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81ABE"/>
    <w:multiLevelType w:val="multilevel"/>
    <w:tmpl w:val="B232A776"/>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46" w15:restartNumberingAfterBreak="0">
    <w:nsid w:val="69A4029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0DA31DE"/>
    <w:multiLevelType w:val="hybridMultilevel"/>
    <w:tmpl w:val="BEC63BC2"/>
    <w:lvl w:ilvl="0" w:tplc="1F927504">
      <w:start w:val="1"/>
      <w:numFmt w:val="bullet"/>
      <w:lvlText w:val=""/>
      <w:lvlJc w:val="left"/>
      <w:pPr>
        <w:ind w:left="547" w:hanging="360"/>
      </w:pPr>
      <w:rPr>
        <w:rFonts w:ascii="Symbol" w:hAnsi="Symbol" w:hint="default"/>
        <w:color w:val="2297AA" w:themeColor="accent2"/>
        <w:sz w:val="24"/>
        <w:szCs w:val="20"/>
      </w:rPr>
    </w:lvl>
    <w:lvl w:ilvl="1" w:tplc="96664950">
      <w:start w:val="1"/>
      <w:numFmt w:val="bullet"/>
      <w:lvlText w:val="o"/>
      <w:lvlJc w:val="left"/>
      <w:pPr>
        <w:ind w:left="1267" w:hanging="360"/>
      </w:pPr>
      <w:rPr>
        <w:rFonts w:ascii="Courier New" w:hAnsi="Courier New" w:cs="Courier New" w:hint="default"/>
      </w:rPr>
    </w:lvl>
    <w:lvl w:ilvl="2" w:tplc="04FE07A4" w:tentative="1">
      <w:start w:val="1"/>
      <w:numFmt w:val="bullet"/>
      <w:lvlText w:val=""/>
      <w:lvlJc w:val="left"/>
      <w:pPr>
        <w:ind w:left="1987" w:hanging="360"/>
      </w:pPr>
      <w:rPr>
        <w:rFonts w:ascii="Wingdings" w:hAnsi="Wingdings" w:hint="default"/>
      </w:rPr>
    </w:lvl>
    <w:lvl w:ilvl="3" w:tplc="895C2148" w:tentative="1">
      <w:start w:val="1"/>
      <w:numFmt w:val="bullet"/>
      <w:lvlText w:val=""/>
      <w:lvlJc w:val="left"/>
      <w:pPr>
        <w:ind w:left="2707" w:hanging="360"/>
      </w:pPr>
      <w:rPr>
        <w:rFonts w:ascii="Symbol" w:hAnsi="Symbol" w:hint="default"/>
      </w:rPr>
    </w:lvl>
    <w:lvl w:ilvl="4" w:tplc="0EE0F972" w:tentative="1">
      <w:start w:val="1"/>
      <w:numFmt w:val="bullet"/>
      <w:lvlText w:val="o"/>
      <w:lvlJc w:val="left"/>
      <w:pPr>
        <w:ind w:left="3427" w:hanging="360"/>
      </w:pPr>
      <w:rPr>
        <w:rFonts w:ascii="Courier New" w:hAnsi="Courier New" w:cs="Courier New" w:hint="default"/>
      </w:rPr>
    </w:lvl>
    <w:lvl w:ilvl="5" w:tplc="1F94ECC2" w:tentative="1">
      <w:start w:val="1"/>
      <w:numFmt w:val="bullet"/>
      <w:lvlText w:val=""/>
      <w:lvlJc w:val="left"/>
      <w:pPr>
        <w:ind w:left="4147" w:hanging="360"/>
      </w:pPr>
      <w:rPr>
        <w:rFonts w:ascii="Wingdings" w:hAnsi="Wingdings" w:hint="default"/>
      </w:rPr>
    </w:lvl>
    <w:lvl w:ilvl="6" w:tplc="64DE03E4" w:tentative="1">
      <w:start w:val="1"/>
      <w:numFmt w:val="bullet"/>
      <w:lvlText w:val=""/>
      <w:lvlJc w:val="left"/>
      <w:pPr>
        <w:ind w:left="4867" w:hanging="360"/>
      </w:pPr>
      <w:rPr>
        <w:rFonts w:ascii="Symbol" w:hAnsi="Symbol" w:hint="default"/>
      </w:rPr>
    </w:lvl>
    <w:lvl w:ilvl="7" w:tplc="837EDF66" w:tentative="1">
      <w:start w:val="1"/>
      <w:numFmt w:val="bullet"/>
      <w:lvlText w:val="o"/>
      <w:lvlJc w:val="left"/>
      <w:pPr>
        <w:ind w:left="5587" w:hanging="360"/>
      </w:pPr>
      <w:rPr>
        <w:rFonts w:ascii="Courier New" w:hAnsi="Courier New" w:cs="Courier New" w:hint="default"/>
      </w:rPr>
    </w:lvl>
    <w:lvl w:ilvl="8" w:tplc="DC265BCA" w:tentative="1">
      <w:start w:val="1"/>
      <w:numFmt w:val="bullet"/>
      <w:lvlText w:val=""/>
      <w:lvlJc w:val="left"/>
      <w:pPr>
        <w:ind w:left="6307" w:hanging="360"/>
      </w:pPr>
      <w:rPr>
        <w:rFonts w:ascii="Wingdings" w:hAnsi="Wingdings" w:hint="default"/>
      </w:rPr>
    </w:lvl>
  </w:abstractNum>
  <w:abstractNum w:abstractNumId="48" w15:restartNumberingAfterBreak="0">
    <w:nsid w:val="7190762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5E64B5D"/>
    <w:multiLevelType w:val="hybridMultilevel"/>
    <w:tmpl w:val="D5A0F2D4"/>
    <w:lvl w:ilvl="0" w:tplc="3C6C8890">
      <w:start w:val="1"/>
      <w:numFmt w:val="bullet"/>
      <w:lvlText w:val=""/>
      <w:lvlJc w:val="left"/>
      <w:pPr>
        <w:ind w:left="547" w:hanging="360"/>
      </w:pPr>
      <w:rPr>
        <w:rFonts w:ascii="Symbol" w:hAnsi="Symbol" w:hint="default"/>
        <w:color w:val="2297AA" w:themeColor="accent2"/>
        <w:sz w:val="24"/>
        <w:szCs w:val="20"/>
      </w:rPr>
    </w:lvl>
    <w:lvl w:ilvl="1" w:tplc="70F26AB8" w:tentative="1">
      <w:start w:val="1"/>
      <w:numFmt w:val="bullet"/>
      <w:lvlText w:val="o"/>
      <w:lvlJc w:val="left"/>
      <w:pPr>
        <w:ind w:left="1267" w:hanging="360"/>
      </w:pPr>
      <w:rPr>
        <w:rFonts w:ascii="Courier New" w:hAnsi="Courier New" w:cs="Courier New" w:hint="default"/>
      </w:rPr>
    </w:lvl>
    <w:lvl w:ilvl="2" w:tplc="879CD5EE" w:tentative="1">
      <w:start w:val="1"/>
      <w:numFmt w:val="bullet"/>
      <w:lvlText w:val=""/>
      <w:lvlJc w:val="left"/>
      <w:pPr>
        <w:ind w:left="1987" w:hanging="360"/>
      </w:pPr>
      <w:rPr>
        <w:rFonts w:ascii="Wingdings" w:hAnsi="Wingdings" w:hint="default"/>
      </w:rPr>
    </w:lvl>
    <w:lvl w:ilvl="3" w:tplc="A80A2C0A" w:tentative="1">
      <w:start w:val="1"/>
      <w:numFmt w:val="bullet"/>
      <w:lvlText w:val=""/>
      <w:lvlJc w:val="left"/>
      <w:pPr>
        <w:ind w:left="2707" w:hanging="360"/>
      </w:pPr>
      <w:rPr>
        <w:rFonts w:ascii="Symbol" w:hAnsi="Symbol" w:hint="default"/>
      </w:rPr>
    </w:lvl>
    <w:lvl w:ilvl="4" w:tplc="C5002EC8" w:tentative="1">
      <w:start w:val="1"/>
      <w:numFmt w:val="bullet"/>
      <w:lvlText w:val="o"/>
      <w:lvlJc w:val="left"/>
      <w:pPr>
        <w:ind w:left="3427" w:hanging="360"/>
      </w:pPr>
      <w:rPr>
        <w:rFonts w:ascii="Courier New" w:hAnsi="Courier New" w:cs="Courier New" w:hint="default"/>
      </w:rPr>
    </w:lvl>
    <w:lvl w:ilvl="5" w:tplc="393AB18E" w:tentative="1">
      <w:start w:val="1"/>
      <w:numFmt w:val="bullet"/>
      <w:lvlText w:val=""/>
      <w:lvlJc w:val="left"/>
      <w:pPr>
        <w:ind w:left="4147" w:hanging="360"/>
      </w:pPr>
      <w:rPr>
        <w:rFonts w:ascii="Wingdings" w:hAnsi="Wingdings" w:hint="default"/>
      </w:rPr>
    </w:lvl>
    <w:lvl w:ilvl="6" w:tplc="413E626A" w:tentative="1">
      <w:start w:val="1"/>
      <w:numFmt w:val="bullet"/>
      <w:lvlText w:val=""/>
      <w:lvlJc w:val="left"/>
      <w:pPr>
        <w:ind w:left="4867" w:hanging="360"/>
      </w:pPr>
      <w:rPr>
        <w:rFonts w:ascii="Symbol" w:hAnsi="Symbol" w:hint="default"/>
      </w:rPr>
    </w:lvl>
    <w:lvl w:ilvl="7" w:tplc="E92E45CA" w:tentative="1">
      <w:start w:val="1"/>
      <w:numFmt w:val="bullet"/>
      <w:lvlText w:val="o"/>
      <w:lvlJc w:val="left"/>
      <w:pPr>
        <w:ind w:left="5587" w:hanging="360"/>
      </w:pPr>
      <w:rPr>
        <w:rFonts w:ascii="Courier New" w:hAnsi="Courier New" w:cs="Courier New" w:hint="default"/>
      </w:rPr>
    </w:lvl>
    <w:lvl w:ilvl="8" w:tplc="D144C4BC" w:tentative="1">
      <w:start w:val="1"/>
      <w:numFmt w:val="bullet"/>
      <w:lvlText w:val=""/>
      <w:lvlJc w:val="left"/>
      <w:pPr>
        <w:ind w:left="6307" w:hanging="360"/>
      </w:pPr>
      <w:rPr>
        <w:rFonts w:ascii="Wingdings" w:hAnsi="Wingdings" w:hint="default"/>
      </w:rPr>
    </w:lvl>
  </w:abstractNum>
  <w:abstractNum w:abstractNumId="50" w15:restartNumberingAfterBreak="0">
    <w:nsid w:val="776A6322"/>
    <w:multiLevelType w:val="multilevel"/>
    <w:tmpl w:val="50901656"/>
    <w:numStyleLink w:val="BrattleNumbers"/>
  </w:abstractNum>
  <w:abstractNum w:abstractNumId="51" w15:restartNumberingAfterBreak="0">
    <w:nsid w:val="7CB7482A"/>
    <w:multiLevelType w:val="hybridMultilevel"/>
    <w:tmpl w:val="4B160E56"/>
    <w:lvl w:ilvl="0" w:tplc="2294D20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F1650B"/>
    <w:multiLevelType w:val="hybridMultilevel"/>
    <w:tmpl w:val="016E24CE"/>
    <w:lvl w:ilvl="0" w:tplc="0282A496">
      <w:start w:val="1"/>
      <w:numFmt w:val="bullet"/>
      <w:pStyle w:val="TableTextBulleted"/>
      <w:lvlText w:val=""/>
      <w:lvlJc w:val="left"/>
      <w:pPr>
        <w:ind w:left="360" w:hanging="360"/>
      </w:pPr>
      <w:rPr>
        <w:rFonts w:ascii="Symbol" w:hAnsi="Symbol" w:hint="default"/>
        <w:color w:val="19707F"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23"/>
  </w:num>
  <w:num w:numId="4">
    <w:abstractNumId w:val="21"/>
  </w:num>
  <w:num w:numId="5">
    <w:abstractNumId w:val="25"/>
  </w:num>
  <w:num w:numId="6">
    <w:abstractNumId w:val="31"/>
  </w:num>
  <w:num w:numId="7">
    <w:abstractNumId w:val="14"/>
  </w:num>
  <w:num w:numId="8">
    <w:abstractNumId w:val="9"/>
  </w:num>
  <w:num w:numId="9">
    <w:abstractNumId w:val="17"/>
  </w:num>
  <w:num w:numId="10">
    <w:abstractNumId w:val="45"/>
  </w:num>
  <w:num w:numId="11">
    <w:abstractNumId w:val="48"/>
  </w:num>
  <w:num w:numId="12">
    <w:abstractNumId w:val="16"/>
  </w:num>
  <w:num w:numId="13">
    <w:abstractNumId w:val="46"/>
  </w:num>
  <w:num w:numId="14">
    <w:abstractNumId w:val="24"/>
  </w:num>
  <w:num w:numId="15">
    <w:abstractNumId w:val="37"/>
  </w:num>
  <w:num w:numId="16">
    <w:abstractNumId w:val="20"/>
  </w:num>
  <w:num w:numId="17">
    <w:abstractNumId w:val="41"/>
  </w:num>
  <w:num w:numId="18">
    <w:abstractNumId w:val="27"/>
  </w:num>
  <w:num w:numId="19">
    <w:abstractNumId w:val="29"/>
  </w:num>
  <w:num w:numId="20">
    <w:abstractNumId w:val="38"/>
  </w:num>
  <w:num w:numId="21">
    <w:abstractNumId w:val="1"/>
  </w:num>
  <w:num w:numId="22">
    <w:abstractNumId w:val="6"/>
  </w:num>
  <w:num w:numId="23">
    <w:abstractNumId w:val="5"/>
  </w:num>
  <w:num w:numId="24">
    <w:abstractNumId w:val="4"/>
  </w:num>
  <w:num w:numId="25">
    <w:abstractNumId w:val="3"/>
  </w:num>
  <w:num w:numId="26">
    <w:abstractNumId w:val="2"/>
  </w:num>
  <w:num w:numId="27">
    <w:abstractNumId w:val="50"/>
  </w:num>
  <w:num w:numId="28">
    <w:abstractNumId w:val="0"/>
  </w:num>
  <w:num w:numId="29">
    <w:abstractNumId w:val="13"/>
  </w:num>
  <w:num w:numId="30">
    <w:abstractNumId w:val="11"/>
  </w:num>
  <w:num w:numId="31">
    <w:abstractNumId w:val="10"/>
  </w:num>
  <w:num w:numId="32">
    <w:abstractNumId w:val="52"/>
  </w:num>
  <w:num w:numId="33">
    <w:abstractNumId w:val="33"/>
  </w:num>
  <w:num w:numId="34">
    <w:abstractNumId w:val="30"/>
  </w:num>
  <w:num w:numId="35">
    <w:abstractNumId w:val="7"/>
  </w:num>
  <w:num w:numId="36">
    <w:abstractNumId w:val="35"/>
  </w:num>
  <w:num w:numId="37">
    <w:abstractNumId w:val="39"/>
  </w:num>
  <w:num w:numId="38">
    <w:abstractNumId w:val="19"/>
  </w:num>
  <w:num w:numId="39">
    <w:abstractNumId w:val="8"/>
  </w:num>
  <w:num w:numId="40">
    <w:abstractNumId w:val="36"/>
  </w:num>
  <w:num w:numId="41">
    <w:abstractNumId w:val="34"/>
  </w:num>
  <w:num w:numId="42">
    <w:abstractNumId w:val="32"/>
  </w:num>
  <w:num w:numId="43">
    <w:abstractNumId w:val="47"/>
  </w:num>
  <w:num w:numId="44">
    <w:abstractNumId w:val="49"/>
  </w:num>
  <w:num w:numId="45">
    <w:abstractNumId w:val="22"/>
  </w:num>
  <w:num w:numId="46">
    <w:abstractNumId w:val="51"/>
  </w:num>
  <w:num w:numId="47">
    <w:abstractNumId w:val="42"/>
  </w:num>
  <w:num w:numId="48">
    <w:abstractNumId w:val="40"/>
  </w:num>
  <w:num w:numId="49">
    <w:abstractNumId w:val="2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s-ES" w:vendorID="64" w:dllVersion="131078" w:nlCheck="1" w:checkStyle="0"/>
  <w:activeWritingStyle w:appName="MSWord" w:lang="fr-FR"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1440"/>
  <w:clickAndTypeStyle w:val="Paragraph"/>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MzI2NjSwsDQ1NjdV0lEKTi0uzszPAykwNK4FAKparxAtAAAA"/>
  </w:docVars>
  <w:rsids>
    <w:rsidRoot w:val="00B1177D"/>
    <w:rsid w:val="000001ED"/>
    <w:rsid w:val="000002A1"/>
    <w:rsid w:val="00000E34"/>
    <w:rsid w:val="000010A8"/>
    <w:rsid w:val="000014DA"/>
    <w:rsid w:val="0000151E"/>
    <w:rsid w:val="00001D3D"/>
    <w:rsid w:val="000020F4"/>
    <w:rsid w:val="00002988"/>
    <w:rsid w:val="000029B0"/>
    <w:rsid w:val="00002B8D"/>
    <w:rsid w:val="00002FE8"/>
    <w:rsid w:val="0000385F"/>
    <w:rsid w:val="000038B3"/>
    <w:rsid w:val="00003D8B"/>
    <w:rsid w:val="000045DA"/>
    <w:rsid w:val="000047D0"/>
    <w:rsid w:val="0000483D"/>
    <w:rsid w:val="00004899"/>
    <w:rsid w:val="000049E7"/>
    <w:rsid w:val="00004B80"/>
    <w:rsid w:val="00004F77"/>
    <w:rsid w:val="0000507B"/>
    <w:rsid w:val="0000523C"/>
    <w:rsid w:val="00005851"/>
    <w:rsid w:val="00005A77"/>
    <w:rsid w:val="00005B97"/>
    <w:rsid w:val="00005DAB"/>
    <w:rsid w:val="00006AF2"/>
    <w:rsid w:val="00006B23"/>
    <w:rsid w:val="000070C3"/>
    <w:rsid w:val="00007628"/>
    <w:rsid w:val="00007978"/>
    <w:rsid w:val="00007B23"/>
    <w:rsid w:val="00007D5A"/>
    <w:rsid w:val="000102F0"/>
    <w:rsid w:val="00010B78"/>
    <w:rsid w:val="00010DCF"/>
    <w:rsid w:val="00010DED"/>
    <w:rsid w:val="00010FE6"/>
    <w:rsid w:val="0001168F"/>
    <w:rsid w:val="0001196E"/>
    <w:rsid w:val="000123EB"/>
    <w:rsid w:val="0001282F"/>
    <w:rsid w:val="0001299A"/>
    <w:rsid w:val="00012A13"/>
    <w:rsid w:val="000136D0"/>
    <w:rsid w:val="00013DE6"/>
    <w:rsid w:val="00014C40"/>
    <w:rsid w:val="00014C98"/>
    <w:rsid w:val="0001538F"/>
    <w:rsid w:val="0001561B"/>
    <w:rsid w:val="00015733"/>
    <w:rsid w:val="000157A8"/>
    <w:rsid w:val="00015858"/>
    <w:rsid w:val="00015A95"/>
    <w:rsid w:val="00015CCA"/>
    <w:rsid w:val="000163EB"/>
    <w:rsid w:val="0001666C"/>
    <w:rsid w:val="000166E0"/>
    <w:rsid w:val="0001673B"/>
    <w:rsid w:val="00017357"/>
    <w:rsid w:val="00017D4D"/>
    <w:rsid w:val="0002018F"/>
    <w:rsid w:val="000204DF"/>
    <w:rsid w:val="0002069E"/>
    <w:rsid w:val="00020EB1"/>
    <w:rsid w:val="00021370"/>
    <w:rsid w:val="00021804"/>
    <w:rsid w:val="00021970"/>
    <w:rsid w:val="00021BEC"/>
    <w:rsid w:val="00021D0C"/>
    <w:rsid w:val="00021ECD"/>
    <w:rsid w:val="000222CF"/>
    <w:rsid w:val="00022369"/>
    <w:rsid w:val="000228C1"/>
    <w:rsid w:val="00023488"/>
    <w:rsid w:val="00023573"/>
    <w:rsid w:val="0002396F"/>
    <w:rsid w:val="00023C15"/>
    <w:rsid w:val="00023FAB"/>
    <w:rsid w:val="00024080"/>
    <w:rsid w:val="00024232"/>
    <w:rsid w:val="000246BA"/>
    <w:rsid w:val="00024FBD"/>
    <w:rsid w:val="00025E5A"/>
    <w:rsid w:val="0002630F"/>
    <w:rsid w:val="0002658D"/>
    <w:rsid w:val="000267E5"/>
    <w:rsid w:val="0002689B"/>
    <w:rsid w:val="00026E2F"/>
    <w:rsid w:val="00026E9B"/>
    <w:rsid w:val="00027051"/>
    <w:rsid w:val="000270CA"/>
    <w:rsid w:val="00027161"/>
    <w:rsid w:val="000272FD"/>
    <w:rsid w:val="0002752B"/>
    <w:rsid w:val="000277A8"/>
    <w:rsid w:val="00027B0F"/>
    <w:rsid w:val="00027D52"/>
    <w:rsid w:val="00027E05"/>
    <w:rsid w:val="00027E18"/>
    <w:rsid w:val="00030033"/>
    <w:rsid w:val="0003058F"/>
    <w:rsid w:val="00030B05"/>
    <w:rsid w:val="00031154"/>
    <w:rsid w:val="0003122F"/>
    <w:rsid w:val="00031BEA"/>
    <w:rsid w:val="00031D44"/>
    <w:rsid w:val="0003277B"/>
    <w:rsid w:val="000328C0"/>
    <w:rsid w:val="00032B60"/>
    <w:rsid w:val="00032E63"/>
    <w:rsid w:val="000330A1"/>
    <w:rsid w:val="00033481"/>
    <w:rsid w:val="00033742"/>
    <w:rsid w:val="00033A96"/>
    <w:rsid w:val="00033FC6"/>
    <w:rsid w:val="00035009"/>
    <w:rsid w:val="00035382"/>
    <w:rsid w:val="000365DD"/>
    <w:rsid w:val="00036C73"/>
    <w:rsid w:val="00036E35"/>
    <w:rsid w:val="0003702B"/>
    <w:rsid w:val="0003796B"/>
    <w:rsid w:val="00037F13"/>
    <w:rsid w:val="0004027F"/>
    <w:rsid w:val="000409DC"/>
    <w:rsid w:val="00040A87"/>
    <w:rsid w:val="00040C28"/>
    <w:rsid w:val="0004106F"/>
    <w:rsid w:val="00041148"/>
    <w:rsid w:val="00041327"/>
    <w:rsid w:val="000413F9"/>
    <w:rsid w:val="00041614"/>
    <w:rsid w:val="000417C7"/>
    <w:rsid w:val="000419E7"/>
    <w:rsid w:val="00041A92"/>
    <w:rsid w:val="0004253E"/>
    <w:rsid w:val="000433B3"/>
    <w:rsid w:val="000439D9"/>
    <w:rsid w:val="00044055"/>
    <w:rsid w:val="0004440A"/>
    <w:rsid w:val="000444ED"/>
    <w:rsid w:val="00044812"/>
    <w:rsid w:val="00044ADC"/>
    <w:rsid w:val="0004502B"/>
    <w:rsid w:val="000450CE"/>
    <w:rsid w:val="0004596B"/>
    <w:rsid w:val="00045CF6"/>
    <w:rsid w:val="0004624A"/>
    <w:rsid w:val="00046BDF"/>
    <w:rsid w:val="00046DAD"/>
    <w:rsid w:val="000471FC"/>
    <w:rsid w:val="00047EE8"/>
    <w:rsid w:val="00050092"/>
    <w:rsid w:val="00050420"/>
    <w:rsid w:val="000504DD"/>
    <w:rsid w:val="000504FC"/>
    <w:rsid w:val="00050608"/>
    <w:rsid w:val="0005061B"/>
    <w:rsid w:val="0005089F"/>
    <w:rsid w:val="00050A27"/>
    <w:rsid w:val="0005112B"/>
    <w:rsid w:val="000511C2"/>
    <w:rsid w:val="0005164E"/>
    <w:rsid w:val="000516B5"/>
    <w:rsid w:val="000517F1"/>
    <w:rsid w:val="000519E2"/>
    <w:rsid w:val="00051ADC"/>
    <w:rsid w:val="00052544"/>
    <w:rsid w:val="0005281F"/>
    <w:rsid w:val="000529C2"/>
    <w:rsid w:val="00052C18"/>
    <w:rsid w:val="00052D57"/>
    <w:rsid w:val="000530EC"/>
    <w:rsid w:val="000537F7"/>
    <w:rsid w:val="00053968"/>
    <w:rsid w:val="00053BCF"/>
    <w:rsid w:val="00053C03"/>
    <w:rsid w:val="00054892"/>
    <w:rsid w:val="00055048"/>
    <w:rsid w:val="000552E3"/>
    <w:rsid w:val="00055C75"/>
    <w:rsid w:val="00055EAD"/>
    <w:rsid w:val="0005676A"/>
    <w:rsid w:val="00056BFD"/>
    <w:rsid w:val="00056FEE"/>
    <w:rsid w:val="00057858"/>
    <w:rsid w:val="00057A41"/>
    <w:rsid w:val="00057DDA"/>
    <w:rsid w:val="000601FF"/>
    <w:rsid w:val="00060420"/>
    <w:rsid w:val="00060A71"/>
    <w:rsid w:val="00060D0D"/>
    <w:rsid w:val="000610C4"/>
    <w:rsid w:val="00061714"/>
    <w:rsid w:val="00061A32"/>
    <w:rsid w:val="00061AE3"/>
    <w:rsid w:val="0006202D"/>
    <w:rsid w:val="000624CC"/>
    <w:rsid w:val="00062CF5"/>
    <w:rsid w:val="00063448"/>
    <w:rsid w:val="00063A39"/>
    <w:rsid w:val="00063B23"/>
    <w:rsid w:val="00063C6C"/>
    <w:rsid w:val="00063F53"/>
    <w:rsid w:val="00064104"/>
    <w:rsid w:val="000641D4"/>
    <w:rsid w:val="00064392"/>
    <w:rsid w:val="00064879"/>
    <w:rsid w:val="00064A45"/>
    <w:rsid w:val="00064A8C"/>
    <w:rsid w:val="000651FD"/>
    <w:rsid w:val="0006521B"/>
    <w:rsid w:val="00065717"/>
    <w:rsid w:val="00065E31"/>
    <w:rsid w:val="00066550"/>
    <w:rsid w:val="00066B58"/>
    <w:rsid w:val="00066BAF"/>
    <w:rsid w:val="00066DBA"/>
    <w:rsid w:val="00067142"/>
    <w:rsid w:val="0006739E"/>
    <w:rsid w:val="00067835"/>
    <w:rsid w:val="00067938"/>
    <w:rsid w:val="00067D89"/>
    <w:rsid w:val="00070065"/>
    <w:rsid w:val="00070821"/>
    <w:rsid w:val="00071186"/>
    <w:rsid w:val="000716DB"/>
    <w:rsid w:val="00071939"/>
    <w:rsid w:val="00071A77"/>
    <w:rsid w:val="00071B20"/>
    <w:rsid w:val="000726F2"/>
    <w:rsid w:val="00072764"/>
    <w:rsid w:val="000727C6"/>
    <w:rsid w:val="00072CEB"/>
    <w:rsid w:val="0007321F"/>
    <w:rsid w:val="000734B6"/>
    <w:rsid w:val="0007381D"/>
    <w:rsid w:val="00073834"/>
    <w:rsid w:val="00073DB2"/>
    <w:rsid w:val="00074575"/>
    <w:rsid w:val="000746F7"/>
    <w:rsid w:val="0007483E"/>
    <w:rsid w:val="000755BE"/>
    <w:rsid w:val="000757D5"/>
    <w:rsid w:val="000757F0"/>
    <w:rsid w:val="000759C6"/>
    <w:rsid w:val="00075AFB"/>
    <w:rsid w:val="00075DAB"/>
    <w:rsid w:val="0007613D"/>
    <w:rsid w:val="00076A14"/>
    <w:rsid w:val="00076E6E"/>
    <w:rsid w:val="00076F92"/>
    <w:rsid w:val="00077444"/>
    <w:rsid w:val="00077455"/>
    <w:rsid w:val="0007794E"/>
    <w:rsid w:val="00077A65"/>
    <w:rsid w:val="00077B3C"/>
    <w:rsid w:val="00077B49"/>
    <w:rsid w:val="00077BC7"/>
    <w:rsid w:val="00077D45"/>
    <w:rsid w:val="00077E29"/>
    <w:rsid w:val="0008003B"/>
    <w:rsid w:val="0008004F"/>
    <w:rsid w:val="00080927"/>
    <w:rsid w:val="00080BC4"/>
    <w:rsid w:val="00080F59"/>
    <w:rsid w:val="00081012"/>
    <w:rsid w:val="00081818"/>
    <w:rsid w:val="000818AE"/>
    <w:rsid w:val="00081EE5"/>
    <w:rsid w:val="000821DE"/>
    <w:rsid w:val="000821FF"/>
    <w:rsid w:val="000829FA"/>
    <w:rsid w:val="00082A4F"/>
    <w:rsid w:val="00083A90"/>
    <w:rsid w:val="00083BCA"/>
    <w:rsid w:val="00083F96"/>
    <w:rsid w:val="00085161"/>
    <w:rsid w:val="00085528"/>
    <w:rsid w:val="000856A4"/>
    <w:rsid w:val="0008597C"/>
    <w:rsid w:val="00085C5F"/>
    <w:rsid w:val="00085F3F"/>
    <w:rsid w:val="000860E1"/>
    <w:rsid w:val="0008688C"/>
    <w:rsid w:val="000868C9"/>
    <w:rsid w:val="00086ADA"/>
    <w:rsid w:val="00086D1E"/>
    <w:rsid w:val="000873B3"/>
    <w:rsid w:val="000874EC"/>
    <w:rsid w:val="00087722"/>
    <w:rsid w:val="00090055"/>
    <w:rsid w:val="0009027B"/>
    <w:rsid w:val="000908F2"/>
    <w:rsid w:val="00090BBF"/>
    <w:rsid w:val="00090C67"/>
    <w:rsid w:val="00090D42"/>
    <w:rsid w:val="0009169B"/>
    <w:rsid w:val="000916C2"/>
    <w:rsid w:val="000918F6"/>
    <w:rsid w:val="00091965"/>
    <w:rsid w:val="00091BBF"/>
    <w:rsid w:val="0009210A"/>
    <w:rsid w:val="00092BDD"/>
    <w:rsid w:val="0009304B"/>
    <w:rsid w:val="000931ED"/>
    <w:rsid w:val="00093237"/>
    <w:rsid w:val="000939D3"/>
    <w:rsid w:val="00093E6E"/>
    <w:rsid w:val="0009432F"/>
    <w:rsid w:val="00094630"/>
    <w:rsid w:val="000947EC"/>
    <w:rsid w:val="00094E5C"/>
    <w:rsid w:val="00094E82"/>
    <w:rsid w:val="0009692B"/>
    <w:rsid w:val="00096BAB"/>
    <w:rsid w:val="00097457"/>
    <w:rsid w:val="000A01A7"/>
    <w:rsid w:val="000A09B7"/>
    <w:rsid w:val="000A09FD"/>
    <w:rsid w:val="000A0D0E"/>
    <w:rsid w:val="000A0E6A"/>
    <w:rsid w:val="000A15BB"/>
    <w:rsid w:val="000A17C8"/>
    <w:rsid w:val="000A18CA"/>
    <w:rsid w:val="000A2AE4"/>
    <w:rsid w:val="000A2D7A"/>
    <w:rsid w:val="000A31D4"/>
    <w:rsid w:val="000A342B"/>
    <w:rsid w:val="000A3541"/>
    <w:rsid w:val="000A3685"/>
    <w:rsid w:val="000A3710"/>
    <w:rsid w:val="000A37FA"/>
    <w:rsid w:val="000A38F1"/>
    <w:rsid w:val="000A3CF0"/>
    <w:rsid w:val="000A3EFE"/>
    <w:rsid w:val="000A4373"/>
    <w:rsid w:val="000A4416"/>
    <w:rsid w:val="000A4647"/>
    <w:rsid w:val="000A4C73"/>
    <w:rsid w:val="000A5CA0"/>
    <w:rsid w:val="000A5DF4"/>
    <w:rsid w:val="000A60E7"/>
    <w:rsid w:val="000A61D4"/>
    <w:rsid w:val="000A6498"/>
    <w:rsid w:val="000A6605"/>
    <w:rsid w:val="000A6874"/>
    <w:rsid w:val="000A68E3"/>
    <w:rsid w:val="000A6988"/>
    <w:rsid w:val="000A7134"/>
    <w:rsid w:val="000A73A7"/>
    <w:rsid w:val="000A75FF"/>
    <w:rsid w:val="000A7A9B"/>
    <w:rsid w:val="000A7B8F"/>
    <w:rsid w:val="000B0546"/>
    <w:rsid w:val="000B0E23"/>
    <w:rsid w:val="000B1651"/>
    <w:rsid w:val="000B1E14"/>
    <w:rsid w:val="000B206E"/>
    <w:rsid w:val="000B2289"/>
    <w:rsid w:val="000B23A6"/>
    <w:rsid w:val="000B2CFF"/>
    <w:rsid w:val="000B301C"/>
    <w:rsid w:val="000B3BFF"/>
    <w:rsid w:val="000B4028"/>
    <w:rsid w:val="000B4086"/>
    <w:rsid w:val="000B4B0B"/>
    <w:rsid w:val="000B4D80"/>
    <w:rsid w:val="000B5140"/>
    <w:rsid w:val="000B5417"/>
    <w:rsid w:val="000B57B7"/>
    <w:rsid w:val="000B5836"/>
    <w:rsid w:val="000B6570"/>
    <w:rsid w:val="000B677D"/>
    <w:rsid w:val="000B6A0E"/>
    <w:rsid w:val="000B6EFF"/>
    <w:rsid w:val="000B7188"/>
    <w:rsid w:val="000B7194"/>
    <w:rsid w:val="000B72FD"/>
    <w:rsid w:val="000B7382"/>
    <w:rsid w:val="000B7595"/>
    <w:rsid w:val="000B7A12"/>
    <w:rsid w:val="000B7B60"/>
    <w:rsid w:val="000C0081"/>
    <w:rsid w:val="000C0280"/>
    <w:rsid w:val="000C03F0"/>
    <w:rsid w:val="000C0B0C"/>
    <w:rsid w:val="000C0B52"/>
    <w:rsid w:val="000C1589"/>
    <w:rsid w:val="000C1AE3"/>
    <w:rsid w:val="000C2219"/>
    <w:rsid w:val="000C2409"/>
    <w:rsid w:val="000C25AB"/>
    <w:rsid w:val="000C273F"/>
    <w:rsid w:val="000C2792"/>
    <w:rsid w:val="000C2C3E"/>
    <w:rsid w:val="000C30C6"/>
    <w:rsid w:val="000C35F0"/>
    <w:rsid w:val="000C3697"/>
    <w:rsid w:val="000C4BBE"/>
    <w:rsid w:val="000C50D1"/>
    <w:rsid w:val="000C586B"/>
    <w:rsid w:val="000C5DE1"/>
    <w:rsid w:val="000C67C0"/>
    <w:rsid w:val="000C6A10"/>
    <w:rsid w:val="000C6AD2"/>
    <w:rsid w:val="000C6D9D"/>
    <w:rsid w:val="000C7336"/>
    <w:rsid w:val="000C7503"/>
    <w:rsid w:val="000C7EC9"/>
    <w:rsid w:val="000C7F7A"/>
    <w:rsid w:val="000D04DD"/>
    <w:rsid w:val="000D0636"/>
    <w:rsid w:val="000D18E3"/>
    <w:rsid w:val="000D1A11"/>
    <w:rsid w:val="000D1A1B"/>
    <w:rsid w:val="000D1AA4"/>
    <w:rsid w:val="000D1F20"/>
    <w:rsid w:val="000D1F56"/>
    <w:rsid w:val="000D2061"/>
    <w:rsid w:val="000D268A"/>
    <w:rsid w:val="000D2CFF"/>
    <w:rsid w:val="000D3002"/>
    <w:rsid w:val="000D3C52"/>
    <w:rsid w:val="000D43B8"/>
    <w:rsid w:val="000D468E"/>
    <w:rsid w:val="000D4825"/>
    <w:rsid w:val="000D4A1F"/>
    <w:rsid w:val="000D5D27"/>
    <w:rsid w:val="000D63C3"/>
    <w:rsid w:val="000D668B"/>
    <w:rsid w:val="000D67ED"/>
    <w:rsid w:val="000D68B7"/>
    <w:rsid w:val="000D6D2B"/>
    <w:rsid w:val="000D6DF7"/>
    <w:rsid w:val="000D6F36"/>
    <w:rsid w:val="000D714E"/>
    <w:rsid w:val="000D7474"/>
    <w:rsid w:val="000D753A"/>
    <w:rsid w:val="000D7C78"/>
    <w:rsid w:val="000D7CD6"/>
    <w:rsid w:val="000D7D8C"/>
    <w:rsid w:val="000E0742"/>
    <w:rsid w:val="000E0AFA"/>
    <w:rsid w:val="000E0CDA"/>
    <w:rsid w:val="000E1317"/>
    <w:rsid w:val="000E1BA4"/>
    <w:rsid w:val="000E1D9E"/>
    <w:rsid w:val="000E2199"/>
    <w:rsid w:val="000E2429"/>
    <w:rsid w:val="000E27D0"/>
    <w:rsid w:val="000E301F"/>
    <w:rsid w:val="000E35DF"/>
    <w:rsid w:val="000E375E"/>
    <w:rsid w:val="000E3ED8"/>
    <w:rsid w:val="000E4051"/>
    <w:rsid w:val="000E444A"/>
    <w:rsid w:val="000E47A3"/>
    <w:rsid w:val="000E51D3"/>
    <w:rsid w:val="000E5B7E"/>
    <w:rsid w:val="000E5BA0"/>
    <w:rsid w:val="000E612F"/>
    <w:rsid w:val="000E623D"/>
    <w:rsid w:val="000E62E3"/>
    <w:rsid w:val="000E6496"/>
    <w:rsid w:val="000E670A"/>
    <w:rsid w:val="000E673E"/>
    <w:rsid w:val="000E69FD"/>
    <w:rsid w:val="000E744D"/>
    <w:rsid w:val="000E7C4B"/>
    <w:rsid w:val="000E7EBD"/>
    <w:rsid w:val="000F0067"/>
    <w:rsid w:val="000F0083"/>
    <w:rsid w:val="000F0831"/>
    <w:rsid w:val="000F0911"/>
    <w:rsid w:val="000F0913"/>
    <w:rsid w:val="000F0C93"/>
    <w:rsid w:val="000F0D0B"/>
    <w:rsid w:val="000F1969"/>
    <w:rsid w:val="000F1A69"/>
    <w:rsid w:val="000F1BA9"/>
    <w:rsid w:val="000F1D64"/>
    <w:rsid w:val="000F1EF0"/>
    <w:rsid w:val="000F2565"/>
    <w:rsid w:val="000F39CD"/>
    <w:rsid w:val="000F3D6A"/>
    <w:rsid w:val="000F3DE1"/>
    <w:rsid w:val="000F3E1B"/>
    <w:rsid w:val="000F3F93"/>
    <w:rsid w:val="000F41C1"/>
    <w:rsid w:val="000F493C"/>
    <w:rsid w:val="000F4B3C"/>
    <w:rsid w:val="000F52F6"/>
    <w:rsid w:val="000F5825"/>
    <w:rsid w:val="000F5A3E"/>
    <w:rsid w:val="000F642B"/>
    <w:rsid w:val="000F69F8"/>
    <w:rsid w:val="000F6EF1"/>
    <w:rsid w:val="000F702A"/>
    <w:rsid w:val="000F7305"/>
    <w:rsid w:val="00100143"/>
    <w:rsid w:val="00100254"/>
    <w:rsid w:val="0010061C"/>
    <w:rsid w:val="00100A68"/>
    <w:rsid w:val="00100B69"/>
    <w:rsid w:val="00101176"/>
    <w:rsid w:val="001012AE"/>
    <w:rsid w:val="001017A6"/>
    <w:rsid w:val="00101B3B"/>
    <w:rsid w:val="00102BCF"/>
    <w:rsid w:val="00102D35"/>
    <w:rsid w:val="00102E19"/>
    <w:rsid w:val="0010374C"/>
    <w:rsid w:val="001038FC"/>
    <w:rsid w:val="00103CCA"/>
    <w:rsid w:val="00104003"/>
    <w:rsid w:val="0010417B"/>
    <w:rsid w:val="00104536"/>
    <w:rsid w:val="00104FC4"/>
    <w:rsid w:val="00105836"/>
    <w:rsid w:val="00105858"/>
    <w:rsid w:val="0010637B"/>
    <w:rsid w:val="0010645B"/>
    <w:rsid w:val="0010682C"/>
    <w:rsid w:val="001068E5"/>
    <w:rsid w:val="00106A42"/>
    <w:rsid w:val="00106B2F"/>
    <w:rsid w:val="00106D71"/>
    <w:rsid w:val="00106E5E"/>
    <w:rsid w:val="001070F5"/>
    <w:rsid w:val="001072D7"/>
    <w:rsid w:val="00107347"/>
    <w:rsid w:val="0010734A"/>
    <w:rsid w:val="00107362"/>
    <w:rsid w:val="001076FD"/>
    <w:rsid w:val="00107A86"/>
    <w:rsid w:val="00107AA5"/>
    <w:rsid w:val="0011008D"/>
    <w:rsid w:val="001107D8"/>
    <w:rsid w:val="00110A61"/>
    <w:rsid w:val="00111048"/>
    <w:rsid w:val="0011104A"/>
    <w:rsid w:val="00111128"/>
    <w:rsid w:val="00111244"/>
    <w:rsid w:val="00111367"/>
    <w:rsid w:val="001113DC"/>
    <w:rsid w:val="0011159B"/>
    <w:rsid w:val="0011170B"/>
    <w:rsid w:val="00111830"/>
    <w:rsid w:val="00111CB6"/>
    <w:rsid w:val="0011223F"/>
    <w:rsid w:val="001128D4"/>
    <w:rsid w:val="00112A4C"/>
    <w:rsid w:val="00112A6E"/>
    <w:rsid w:val="00113C49"/>
    <w:rsid w:val="0011594C"/>
    <w:rsid w:val="001162E8"/>
    <w:rsid w:val="0011673A"/>
    <w:rsid w:val="00116A6B"/>
    <w:rsid w:val="00116D09"/>
    <w:rsid w:val="00117543"/>
    <w:rsid w:val="001176B2"/>
    <w:rsid w:val="00117A04"/>
    <w:rsid w:val="00117A4B"/>
    <w:rsid w:val="001202A6"/>
    <w:rsid w:val="0012047B"/>
    <w:rsid w:val="001204C2"/>
    <w:rsid w:val="00120611"/>
    <w:rsid w:val="00120703"/>
    <w:rsid w:val="00120CC6"/>
    <w:rsid w:val="001211E7"/>
    <w:rsid w:val="00121495"/>
    <w:rsid w:val="00121834"/>
    <w:rsid w:val="0012194C"/>
    <w:rsid w:val="00121ED0"/>
    <w:rsid w:val="00122594"/>
    <w:rsid w:val="00122643"/>
    <w:rsid w:val="0012287F"/>
    <w:rsid w:val="001229BC"/>
    <w:rsid w:val="001239BE"/>
    <w:rsid w:val="00123D15"/>
    <w:rsid w:val="00123E02"/>
    <w:rsid w:val="001241A3"/>
    <w:rsid w:val="00124516"/>
    <w:rsid w:val="001245A8"/>
    <w:rsid w:val="001250BC"/>
    <w:rsid w:val="001254B2"/>
    <w:rsid w:val="00125A2E"/>
    <w:rsid w:val="00125B77"/>
    <w:rsid w:val="00125BA7"/>
    <w:rsid w:val="001263CB"/>
    <w:rsid w:val="00127028"/>
    <w:rsid w:val="0012768E"/>
    <w:rsid w:val="00127AEC"/>
    <w:rsid w:val="00127C11"/>
    <w:rsid w:val="00127D23"/>
    <w:rsid w:val="001301D5"/>
    <w:rsid w:val="0013048C"/>
    <w:rsid w:val="00130AD0"/>
    <w:rsid w:val="00130D13"/>
    <w:rsid w:val="001310DA"/>
    <w:rsid w:val="001312A1"/>
    <w:rsid w:val="001318D9"/>
    <w:rsid w:val="00131D0E"/>
    <w:rsid w:val="001322D0"/>
    <w:rsid w:val="0013255D"/>
    <w:rsid w:val="00132A38"/>
    <w:rsid w:val="00132E54"/>
    <w:rsid w:val="001342AF"/>
    <w:rsid w:val="001350A4"/>
    <w:rsid w:val="001354EE"/>
    <w:rsid w:val="00135A38"/>
    <w:rsid w:val="00136001"/>
    <w:rsid w:val="00136079"/>
    <w:rsid w:val="00136169"/>
    <w:rsid w:val="00136224"/>
    <w:rsid w:val="001367E3"/>
    <w:rsid w:val="001370DA"/>
    <w:rsid w:val="00137381"/>
    <w:rsid w:val="00137383"/>
    <w:rsid w:val="00137419"/>
    <w:rsid w:val="00140579"/>
    <w:rsid w:val="00140D27"/>
    <w:rsid w:val="001410BC"/>
    <w:rsid w:val="0014180B"/>
    <w:rsid w:val="00141DCD"/>
    <w:rsid w:val="00141FD0"/>
    <w:rsid w:val="0014265F"/>
    <w:rsid w:val="00142BDC"/>
    <w:rsid w:val="00142DF4"/>
    <w:rsid w:val="00143CA9"/>
    <w:rsid w:val="00143E9A"/>
    <w:rsid w:val="00143ECF"/>
    <w:rsid w:val="00144101"/>
    <w:rsid w:val="00145A3B"/>
    <w:rsid w:val="00145C8B"/>
    <w:rsid w:val="00145DE7"/>
    <w:rsid w:val="00145E1B"/>
    <w:rsid w:val="00146191"/>
    <w:rsid w:val="00146209"/>
    <w:rsid w:val="00146AC5"/>
    <w:rsid w:val="00146DB4"/>
    <w:rsid w:val="00146E03"/>
    <w:rsid w:val="00146FC7"/>
    <w:rsid w:val="00147000"/>
    <w:rsid w:val="001479E6"/>
    <w:rsid w:val="001505B5"/>
    <w:rsid w:val="0015078C"/>
    <w:rsid w:val="001507F1"/>
    <w:rsid w:val="0015130D"/>
    <w:rsid w:val="001516FB"/>
    <w:rsid w:val="0015213E"/>
    <w:rsid w:val="001526CE"/>
    <w:rsid w:val="00152BF0"/>
    <w:rsid w:val="001531D0"/>
    <w:rsid w:val="00153659"/>
    <w:rsid w:val="00153A67"/>
    <w:rsid w:val="00153B60"/>
    <w:rsid w:val="001540EC"/>
    <w:rsid w:val="001549B5"/>
    <w:rsid w:val="00154B25"/>
    <w:rsid w:val="00154B45"/>
    <w:rsid w:val="00154CE7"/>
    <w:rsid w:val="00155046"/>
    <w:rsid w:val="00155682"/>
    <w:rsid w:val="0015573C"/>
    <w:rsid w:val="001558FE"/>
    <w:rsid w:val="00155F2D"/>
    <w:rsid w:val="00156112"/>
    <w:rsid w:val="0015698D"/>
    <w:rsid w:val="00156D93"/>
    <w:rsid w:val="00156EBE"/>
    <w:rsid w:val="00156FFF"/>
    <w:rsid w:val="00157154"/>
    <w:rsid w:val="00157376"/>
    <w:rsid w:val="00157E78"/>
    <w:rsid w:val="001600BB"/>
    <w:rsid w:val="00160189"/>
    <w:rsid w:val="001606FA"/>
    <w:rsid w:val="001607A8"/>
    <w:rsid w:val="00160E89"/>
    <w:rsid w:val="00161099"/>
    <w:rsid w:val="00161647"/>
    <w:rsid w:val="00161A76"/>
    <w:rsid w:val="00161B96"/>
    <w:rsid w:val="001620E2"/>
    <w:rsid w:val="0016254C"/>
    <w:rsid w:val="001625AC"/>
    <w:rsid w:val="00162973"/>
    <w:rsid w:val="00162A5F"/>
    <w:rsid w:val="001634D1"/>
    <w:rsid w:val="00163996"/>
    <w:rsid w:val="00163ED8"/>
    <w:rsid w:val="001648EE"/>
    <w:rsid w:val="0016494F"/>
    <w:rsid w:val="00164A17"/>
    <w:rsid w:val="001650AD"/>
    <w:rsid w:val="001656D4"/>
    <w:rsid w:val="00165719"/>
    <w:rsid w:val="00165754"/>
    <w:rsid w:val="00165DB2"/>
    <w:rsid w:val="0016643D"/>
    <w:rsid w:val="00166730"/>
    <w:rsid w:val="001669A5"/>
    <w:rsid w:val="00167254"/>
    <w:rsid w:val="00167C40"/>
    <w:rsid w:val="0017032F"/>
    <w:rsid w:val="00170BB8"/>
    <w:rsid w:val="00170DD7"/>
    <w:rsid w:val="00170F91"/>
    <w:rsid w:val="001710D3"/>
    <w:rsid w:val="0017160C"/>
    <w:rsid w:val="00171646"/>
    <w:rsid w:val="00171C0C"/>
    <w:rsid w:val="0017278D"/>
    <w:rsid w:val="00173526"/>
    <w:rsid w:val="001735B6"/>
    <w:rsid w:val="0017397B"/>
    <w:rsid w:val="00173D11"/>
    <w:rsid w:val="001748C7"/>
    <w:rsid w:val="001748D7"/>
    <w:rsid w:val="00174AC7"/>
    <w:rsid w:val="00174CD8"/>
    <w:rsid w:val="00175246"/>
    <w:rsid w:val="00175642"/>
    <w:rsid w:val="00175721"/>
    <w:rsid w:val="00175739"/>
    <w:rsid w:val="00175C90"/>
    <w:rsid w:val="00175EE4"/>
    <w:rsid w:val="00176749"/>
    <w:rsid w:val="001769E3"/>
    <w:rsid w:val="00176ABB"/>
    <w:rsid w:val="00176D75"/>
    <w:rsid w:val="00176DE7"/>
    <w:rsid w:val="00176F61"/>
    <w:rsid w:val="00177021"/>
    <w:rsid w:val="0017778E"/>
    <w:rsid w:val="0017794C"/>
    <w:rsid w:val="00177FF0"/>
    <w:rsid w:val="00180077"/>
    <w:rsid w:val="001802EE"/>
    <w:rsid w:val="00180D96"/>
    <w:rsid w:val="00180DAE"/>
    <w:rsid w:val="00180E1C"/>
    <w:rsid w:val="00181373"/>
    <w:rsid w:val="0018143E"/>
    <w:rsid w:val="00181AA0"/>
    <w:rsid w:val="001828E1"/>
    <w:rsid w:val="00182C69"/>
    <w:rsid w:val="00183089"/>
    <w:rsid w:val="0018338F"/>
    <w:rsid w:val="00183F36"/>
    <w:rsid w:val="00184E81"/>
    <w:rsid w:val="00185541"/>
    <w:rsid w:val="00186BF9"/>
    <w:rsid w:val="0018712A"/>
    <w:rsid w:val="00187874"/>
    <w:rsid w:val="0019005B"/>
    <w:rsid w:val="00190122"/>
    <w:rsid w:val="0019025C"/>
    <w:rsid w:val="0019029F"/>
    <w:rsid w:val="001903D7"/>
    <w:rsid w:val="00190A92"/>
    <w:rsid w:val="001915AE"/>
    <w:rsid w:val="001916BF"/>
    <w:rsid w:val="00191723"/>
    <w:rsid w:val="0019280B"/>
    <w:rsid w:val="00192B45"/>
    <w:rsid w:val="00194374"/>
    <w:rsid w:val="00194AEA"/>
    <w:rsid w:val="00194E07"/>
    <w:rsid w:val="00195238"/>
    <w:rsid w:val="0019532F"/>
    <w:rsid w:val="0019571E"/>
    <w:rsid w:val="00195F3A"/>
    <w:rsid w:val="001960DE"/>
    <w:rsid w:val="00196322"/>
    <w:rsid w:val="0019661E"/>
    <w:rsid w:val="00196E39"/>
    <w:rsid w:val="00197476"/>
    <w:rsid w:val="00197B72"/>
    <w:rsid w:val="00197C63"/>
    <w:rsid w:val="00197D46"/>
    <w:rsid w:val="00197E3E"/>
    <w:rsid w:val="001A0512"/>
    <w:rsid w:val="001A0803"/>
    <w:rsid w:val="001A0905"/>
    <w:rsid w:val="001A0D3A"/>
    <w:rsid w:val="001A0D76"/>
    <w:rsid w:val="001A1043"/>
    <w:rsid w:val="001A116E"/>
    <w:rsid w:val="001A11D5"/>
    <w:rsid w:val="001A1439"/>
    <w:rsid w:val="001A165F"/>
    <w:rsid w:val="001A16FC"/>
    <w:rsid w:val="001A1805"/>
    <w:rsid w:val="001A1CEF"/>
    <w:rsid w:val="001A2A67"/>
    <w:rsid w:val="001A2D59"/>
    <w:rsid w:val="001A2F67"/>
    <w:rsid w:val="001A364F"/>
    <w:rsid w:val="001A36D5"/>
    <w:rsid w:val="001A3D33"/>
    <w:rsid w:val="001A3FAD"/>
    <w:rsid w:val="001A40F4"/>
    <w:rsid w:val="001A42EA"/>
    <w:rsid w:val="001A4464"/>
    <w:rsid w:val="001A480A"/>
    <w:rsid w:val="001A4B6B"/>
    <w:rsid w:val="001A4BAA"/>
    <w:rsid w:val="001A4F92"/>
    <w:rsid w:val="001A51C0"/>
    <w:rsid w:val="001A594D"/>
    <w:rsid w:val="001A659B"/>
    <w:rsid w:val="001A6CC5"/>
    <w:rsid w:val="001A6E13"/>
    <w:rsid w:val="001A6E4B"/>
    <w:rsid w:val="001A7516"/>
    <w:rsid w:val="001A7564"/>
    <w:rsid w:val="001A7883"/>
    <w:rsid w:val="001A7D4F"/>
    <w:rsid w:val="001A7DC8"/>
    <w:rsid w:val="001B0130"/>
    <w:rsid w:val="001B032E"/>
    <w:rsid w:val="001B0797"/>
    <w:rsid w:val="001B0AAB"/>
    <w:rsid w:val="001B0C6C"/>
    <w:rsid w:val="001B0E4D"/>
    <w:rsid w:val="001B124F"/>
    <w:rsid w:val="001B188E"/>
    <w:rsid w:val="001B1C66"/>
    <w:rsid w:val="001B1CC3"/>
    <w:rsid w:val="001B1DC4"/>
    <w:rsid w:val="001B270D"/>
    <w:rsid w:val="001B2C33"/>
    <w:rsid w:val="001B2D95"/>
    <w:rsid w:val="001B2E5F"/>
    <w:rsid w:val="001B3731"/>
    <w:rsid w:val="001B3CB4"/>
    <w:rsid w:val="001B4229"/>
    <w:rsid w:val="001B4320"/>
    <w:rsid w:val="001B4D1C"/>
    <w:rsid w:val="001B554E"/>
    <w:rsid w:val="001B55FA"/>
    <w:rsid w:val="001B606B"/>
    <w:rsid w:val="001B68D5"/>
    <w:rsid w:val="001B723B"/>
    <w:rsid w:val="001B73C3"/>
    <w:rsid w:val="001B74CE"/>
    <w:rsid w:val="001B7598"/>
    <w:rsid w:val="001B78B1"/>
    <w:rsid w:val="001B7AC3"/>
    <w:rsid w:val="001C0198"/>
    <w:rsid w:val="001C01AB"/>
    <w:rsid w:val="001C0511"/>
    <w:rsid w:val="001C08A8"/>
    <w:rsid w:val="001C0DB4"/>
    <w:rsid w:val="001C119B"/>
    <w:rsid w:val="001C12A3"/>
    <w:rsid w:val="001C1D90"/>
    <w:rsid w:val="001C1DBE"/>
    <w:rsid w:val="001C1F44"/>
    <w:rsid w:val="001C26CE"/>
    <w:rsid w:val="001C2CD5"/>
    <w:rsid w:val="001C304F"/>
    <w:rsid w:val="001C3694"/>
    <w:rsid w:val="001C3D56"/>
    <w:rsid w:val="001C3E92"/>
    <w:rsid w:val="001C4B69"/>
    <w:rsid w:val="001C527E"/>
    <w:rsid w:val="001C5D56"/>
    <w:rsid w:val="001C62C9"/>
    <w:rsid w:val="001C683A"/>
    <w:rsid w:val="001C6EA2"/>
    <w:rsid w:val="001C7055"/>
    <w:rsid w:val="001C7DE6"/>
    <w:rsid w:val="001C7E32"/>
    <w:rsid w:val="001C7FB7"/>
    <w:rsid w:val="001C7FC6"/>
    <w:rsid w:val="001D059A"/>
    <w:rsid w:val="001D0E17"/>
    <w:rsid w:val="001D18EE"/>
    <w:rsid w:val="001D1990"/>
    <w:rsid w:val="001D1E80"/>
    <w:rsid w:val="001D27F7"/>
    <w:rsid w:val="001D2C11"/>
    <w:rsid w:val="001D2DE7"/>
    <w:rsid w:val="001D300E"/>
    <w:rsid w:val="001D30CF"/>
    <w:rsid w:val="001D31B9"/>
    <w:rsid w:val="001D368A"/>
    <w:rsid w:val="001D3AFF"/>
    <w:rsid w:val="001D3E42"/>
    <w:rsid w:val="001D41D8"/>
    <w:rsid w:val="001D4534"/>
    <w:rsid w:val="001D4613"/>
    <w:rsid w:val="001D46C0"/>
    <w:rsid w:val="001D4975"/>
    <w:rsid w:val="001D5130"/>
    <w:rsid w:val="001D54EB"/>
    <w:rsid w:val="001D5842"/>
    <w:rsid w:val="001D5A79"/>
    <w:rsid w:val="001D5F58"/>
    <w:rsid w:val="001D6044"/>
    <w:rsid w:val="001D6198"/>
    <w:rsid w:val="001D6325"/>
    <w:rsid w:val="001D69BF"/>
    <w:rsid w:val="001D6B19"/>
    <w:rsid w:val="001D6D2E"/>
    <w:rsid w:val="001D7A7E"/>
    <w:rsid w:val="001E0178"/>
    <w:rsid w:val="001E0D0E"/>
    <w:rsid w:val="001E129F"/>
    <w:rsid w:val="001E13EC"/>
    <w:rsid w:val="001E14FE"/>
    <w:rsid w:val="001E198F"/>
    <w:rsid w:val="001E222C"/>
    <w:rsid w:val="001E2458"/>
    <w:rsid w:val="001E24CF"/>
    <w:rsid w:val="001E27F2"/>
    <w:rsid w:val="001E2C5B"/>
    <w:rsid w:val="001E2D59"/>
    <w:rsid w:val="001E3399"/>
    <w:rsid w:val="001E35C8"/>
    <w:rsid w:val="001E37C0"/>
    <w:rsid w:val="001E3E20"/>
    <w:rsid w:val="001E3EA3"/>
    <w:rsid w:val="001E4231"/>
    <w:rsid w:val="001E5B05"/>
    <w:rsid w:val="001E6267"/>
    <w:rsid w:val="001E626D"/>
    <w:rsid w:val="001E62B3"/>
    <w:rsid w:val="001E6BD5"/>
    <w:rsid w:val="001E6D2C"/>
    <w:rsid w:val="001E77BE"/>
    <w:rsid w:val="001E7DD1"/>
    <w:rsid w:val="001E7EC2"/>
    <w:rsid w:val="001F0196"/>
    <w:rsid w:val="001F02A2"/>
    <w:rsid w:val="001F0EA8"/>
    <w:rsid w:val="001F0ED0"/>
    <w:rsid w:val="001F11BD"/>
    <w:rsid w:val="001F1362"/>
    <w:rsid w:val="001F1E03"/>
    <w:rsid w:val="001F1F3A"/>
    <w:rsid w:val="001F1F40"/>
    <w:rsid w:val="001F258F"/>
    <w:rsid w:val="001F25E1"/>
    <w:rsid w:val="001F2A63"/>
    <w:rsid w:val="001F3610"/>
    <w:rsid w:val="001F3C0D"/>
    <w:rsid w:val="001F3FF0"/>
    <w:rsid w:val="001F44A0"/>
    <w:rsid w:val="001F453B"/>
    <w:rsid w:val="001F4961"/>
    <w:rsid w:val="001F4ADE"/>
    <w:rsid w:val="001F4DA6"/>
    <w:rsid w:val="001F5906"/>
    <w:rsid w:val="001F5977"/>
    <w:rsid w:val="001F5A09"/>
    <w:rsid w:val="001F5B43"/>
    <w:rsid w:val="001F66C5"/>
    <w:rsid w:val="001F6943"/>
    <w:rsid w:val="001F6D01"/>
    <w:rsid w:val="001F6E5D"/>
    <w:rsid w:val="001F70B4"/>
    <w:rsid w:val="001F753E"/>
    <w:rsid w:val="001F7DFD"/>
    <w:rsid w:val="00200072"/>
    <w:rsid w:val="00200724"/>
    <w:rsid w:val="00200B7E"/>
    <w:rsid w:val="00200D83"/>
    <w:rsid w:val="00201058"/>
    <w:rsid w:val="002010C5"/>
    <w:rsid w:val="00201A21"/>
    <w:rsid w:val="00201D8B"/>
    <w:rsid w:val="0020273C"/>
    <w:rsid w:val="00202852"/>
    <w:rsid w:val="00202D2E"/>
    <w:rsid w:val="00202D30"/>
    <w:rsid w:val="0020342C"/>
    <w:rsid w:val="00203866"/>
    <w:rsid w:val="00203EFF"/>
    <w:rsid w:val="00204086"/>
    <w:rsid w:val="0020497D"/>
    <w:rsid w:val="00204AA4"/>
    <w:rsid w:val="00204ABE"/>
    <w:rsid w:val="00205200"/>
    <w:rsid w:val="00205413"/>
    <w:rsid w:val="0020549E"/>
    <w:rsid w:val="002056B5"/>
    <w:rsid w:val="00205CCC"/>
    <w:rsid w:val="00205CD8"/>
    <w:rsid w:val="0020650C"/>
    <w:rsid w:val="002065EE"/>
    <w:rsid w:val="00206758"/>
    <w:rsid w:val="00206DBC"/>
    <w:rsid w:val="00207814"/>
    <w:rsid w:val="002078C6"/>
    <w:rsid w:val="00207DC3"/>
    <w:rsid w:val="00207E26"/>
    <w:rsid w:val="00207E72"/>
    <w:rsid w:val="0021019E"/>
    <w:rsid w:val="002108F6"/>
    <w:rsid w:val="00210C54"/>
    <w:rsid w:val="00210E99"/>
    <w:rsid w:val="002115E8"/>
    <w:rsid w:val="002118C9"/>
    <w:rsid w:val="002119B3"/>
    <w:rsid w:val="00211A50"/>
    <w:rsid w:val="00211DA4"/>
    <w:rsid w:val="00211DB4"/>
    <w:rsid w:val="00211F36"/>
    <w:rsid w:val="0021204A"/>
    <w:rsid w:val="00212072"/>
    <w:rsid w:val="0021219A"/>
    <w:rsid w:val="00212262"/>
    <w:rsid w:val="00212CFD"/>
    <w:rsid w:val="00212F3D"/>
    <w:rsid w:val="00212F46"/>
    <w:rsid w:val="00213100"/>
    <w:rsid w:val="0021337B"/>
    <w:rsid w:val="0021380C"/>
    <w:rsid w:val="00213B1B"/>
    <w:rsid w:val="00214A6E"/>
    <w:rsid w:val="00215150"/>
    <w:rsid w:val="00215179"/>
    <w:rsid w:val="002152E5"/>
    <w:rsid w:val="00215323"/>
    <w:rsid w:val="00215684"/>
    <w:rsid w:val="0021586A"/>
    <w:rsid w:val="00215F90"/>
    <w:rsid w:val="0021600A"/>
    <w:rsid w:val="00216837"/>
    <w:rsid w:val="00216B2D"/>
    <w:rsid w:val="002175B2"/>
    <w:rsid w:val="002179C5"/>
    <w:rsid w:val="00217ED3"/>
    <w:rsid w:val="002202BE"/>
    <w:rsid w:val="00220395"/>
    <w:rsid w:val="00220687"/>
    <w:rsid w:val="00220732"/>
    <w:rsid w:val="0022087B"/>
    <w:rsid w:val="002208F6"/>
    <w:rsid w:val="00220C59"/>
    <w:rsid w:val="00220DF3"/>
    <w:rsid w:val="00220F8D"/>
    <w:rsid w:val="002214B7"/>
    <w:rsid w:val="00221566"/>
    <w:rsid w:val="00221A9E"/>
    <w:rsid w:val="00221AB0"/>
    <w:rsid w:val="00221E89"/>
    <w:rsid w:val="00222019"/>
    <w:rsid w:val="00222B78"/>
    <w:rsid w:val="002233CA"/>
    <w:rsid w:val="00223405"/>
    <w:rsid w:val="00223EAE"/>
    <w:rsid w:val="00223F17"/>
    <w:rsid w:val="00223FD7"/>
    <w:rsid w:val="00224112"/>
    <w:rsid w:val="00224A98"/>
    <w:rsid w:val="00224CBF"/>
    <w:rsid w:val="00224ED8"/>
    <w:rsid w:val="00224F9F"/>
    <w:rsid w:val="0022589D"/>
    <w:rsid w:val="00225D9E"/>
    <w:rsid w:val="002260F0"/>
    <w:rsid w:val="002267DE"/>
    <w:rsid w:val="00226924"/>
    <w:rsid w:val="00226E2F"/>
    <w:rsid w:val="00226F95"/>
    <w:rsid w:val="00226FD5"/>
    <w:rsid w:val="002272AF"/>
    <w:rsid w:val="002272CE"/>
    <w:rsid w:val="00227378"/>
    <w:rsid w:val="00227521"/>
    <w:rsid w:val="002277C6"/>
    <w:rsid w:val="00227A71"/>
    <w:rsid w:val="0023011A"/>
    <w:rsid w:val="00230A77"/>
    <w:rsid w:val="00230D32"/>
    <w:rsid w:val="0023195E"/>
    <w:rsid w:val="002320CF"/>
    <w:rsid w:val="002324DC"/>
    <w:rsid w:val="00232EC6"/>
    <w:rsid w:val="002338FA"/>
    <w:rsid w:val="00233BDD"/>
    <w:rsid w:val="0023404D"/>
    <w:rsid w:val="00234207"/>
    <w:rsid w:val="002342E3"/>
    <w:rsid w:val="00234409"/>
    <w:rsid w:val="002344A0"/>
    <w:rsid w:val="00234698"/>
    <w:rsid w:val="00234737"/>
    <w:rsid w:val="00234787"/>
    <w:rsid w:val="002347AF"/>
    <w:rsid w:val="00234AC4"/>
    <w:rsid w:val="00234FF8"/>
    <w:rsid w:val="0023548D"/>
    <w:rsid w:val="00235F1C"/>
    <w:rsid w:val="00235FA6"/>
    <w:rsid w:val="0023657A"/>
    <w:rsid w:val="002365CE"/>
    <w:rsid w:val="002367DA"/>
    <w:rsid w:val="00236E6B"/>
    <w:rsid w:val="00236F28"/>
    <w:rsid w:val="00236F3B"/>
    <w:rsid w:val="002370F3"/>
    <w:rsid w:val="00237D32"/>
    <w:rsid w:val="002400A7"/>
    <w:rsid w:val="00240EE2"/>
    <w:rsid w:val="00241211"/>
    <w:rsid w:val="002413C3"/>
    <w:rsid w:val="0024159C"/>
    <w:rsid w:val="0024189A"/>
    <w:rsid w:val="002418D3"/>
    <w:rsid w:val="00241AC9"/>
    <w:rsid w:val="00241AF8"/>
    <w:rsid w:val="00241BA8"/>
    <w:rsid w:val="00241C64"/>
    <w:rsid w:val="002437C9"/>
    <w:rsid w:val="00243B98"/>
    <w:rsid w:val="0024441A"/>
    <w:rsid w:val="002444A7"/>
    <w:rsid w:val="002446C7"/>
    <w:rsid w:val="00244B14"/>
    <w:rsid w:val="002451F9"/>
    <w:rsid w:val="0024533F"/>
    <w:rsid w:val="00245B46"/>
    <w:rsid w:val="00245BA6"/>
    <w:rsid w:val="00245E2E"/>
    <w:rsid w:val="00245E5F"/>
    <w:rsid w:val="00245FE2"/>
    <w:rsid w:val="00246633"/>
    <w:rsid w:val="00247306"/>
    <w:rsid w:val="002474A2"/>
    <w:rsid w:val="002477E5"/>
    <w:rsid w:val="00250105"/>
    <w:rsid w:val="002502C5"/>
    <w:rsid w:val="00250354"/>
    <w:rsid w:val="00250630"/>
    <w:rsid w:val="0025085E"/>
    <w:rsid w:val="0025128B"/>
    <w:rsid w:val="00251494"/>
    <w:rsid w:val="002514C2"/>
    <w:rsid w:val="002517F0"/>
    <w:rsid w:val="00251A1F"/>
    <w:rsid w:val="0025242F"/>
    <w:rsid w:val="002528EA"/>
    <w:rsid w:val="00252F36"/>
    <w:rsid w:val="00252FCD"/>
    <w:rsid w:val="0025304F"/>
    <w:rsid w:val="0025312B"/>
    <w:rsid w:val="00253D29"/>
    <w:rsid w:val="00253E0A"/>
    <w:rsid w:val="0025404C"/>
    <w:rsid w:val="00254470"/>
    <w:rsid w:val="00254797"/>
    <w:rsid w:val="00254836"/>
    <w:rsid w:val="00254E39"/>
    <w:rsid w:val="0025500E"/>
    <w:rsid w:val="002550E3"/>
    <w:rsid w:val="00255343"/>
    <w:rsid w:val="002554E1"/>
    <w:rsid w:val="00255761"/>
    <w:rsid w:val="00255BDB"/>
    <w:rsid w:val="00256034"/>
    <w:rsid w:val="002560BB"/>
    <w:rsid w:val="002562D1"/>
    <w:rsid w:val="002564CE"/>
    <w:rsid w:val="00256A2A"/>
    <w:rsid w:val="0025700F"/>
    <w:rsid w:val="0026039C"/>
    <w:rsid w:val="0026044F"/>
    <w:rsid w:val="002608BD"/>
    <w:rsid w:val="00260F64"/>
    <w:rsid w:val="0026102E"/>
    <w:rsid w:val="00261470"/>
    <w:rsid w:val="00261B62"/>
    <w:rsid w:val="00261F44"/>
    <w:rsid w:val="002628D6"/>
    <w:rsid w:val="0026313D"/>
    <w:rsid w:val="00263238"/>
    <w:rsid w:val="0026335E"/>
    <w:rsid w:val="002633CC"/>
    <w:rsid w:val="002635DF"/>
    <w:rsid w:val="0026367A"/>
    <w:rsid w:val="002636E2"/>
    <w:rsid w:val="0026383C"/>
    <w:rsid w:val="00263B46"/>
    <w:rsid w:val="002642C8"/>
    <w:rsid w:val="002643A2"/>
    <w:rsid w:val="00264DE4"/>
    <w:rsid w:val="00264FC3"/>
    <w:rsid w:val="0026565B"/>
    <w:rsid w:val="00265760"/>
    <w:rsid w:val="00265E03"/>
    <w:rsid w:val="002665B4"/>
    <w:rsid w:val="002667F3"/>
    <w:rsid w:val="00270401"/>
    <w:rsid w:val="002707C0"/>
    <w:rsid w:val="00270E4B"/>
    <w:rsid w:val="00270F62"/>
    <w:rsid w:val="00271366"/>
    <w:rsid w:val="00271462"/>
    <w:rsid w:val="00271542"/>
    <w:rsid w:val="0027185F"/>
    <w:rsid w:val="002718B5"/>
    <w:rsid w:val="00271DFB"/>
    <w:rsid w:val="002727FF"/>
    <w:rsid w:val="00272BC5"/>
    <w:rsid w:val="0027321E"/>
    <w:rsid w:val="00273237"/>
    <w:rsid w:val="002733CD"/>
    <w:rsid w:val="002734DC"/>
    <w:rsid w:val="002735C7"/>
    <w:rsid w:val="0027369B"/>
    <w:rsid w:val="002737D9"/>
    <w:rsid w:val="0027444A"/>
    <w:rsid w:val="00274C94"/>
    <w:rsid w:val="0027521F"/>
    <w:rsid w:val="00275820"/>
    <w:rsid w:val="00275F5E"/>
    <w:rsid w:val="00276254"/>
    <w:rsid w:val="00276ABE"/>
    <w:rsid w:val="00276D58"/>
    <w:rsid w:val="00276F0B"/>
    <w:rsid w:val="002772F7"/>
    <w:rsid w:val="00277AFF"/>
    <w:rsid w:val="00277CDC"/>
    <w:rsid w:val="00277D29"/>
    <w:rsid w:val="0028034D"/>
    <w:rsid w:val="002807F4"/>
    <w:rsid w:val="00280CC3"/>
    <w:rsid w:val="00281200"/>
    <w:rsid w:val="002812C5"/>
    <w:rsid w:val="00281461"/>
    <w:rsid w:val="00281F37"/>
    <w:rsid w:val="00281F8D"/>
    <w:rsid w:val="002825F3"/>
    <w:rsid w:val="0028267E"/>
    <w:rsid w:val="00282790"/>
    <w:rsid w:val="00282960"/>
    <w:rsid w:val="002834B0"/>
    <w:rsid w:val="00283890"/>
    <w:rsid w:val="00283BC1"/>
    <w:rsid w:val="0028447E"/>
    <w:rsid w:val="00284933"/>
    <w:rsid w:val="00284D55"/>
    <w:rsid w:val="00284DD5"/>
    <w:rsid w:val="00284DE3"/>
    <w:rsid w:val="00284F7E"/>
    <w:rsid w:val="002857E5"/>
    <w:rsid w:val="00285996"/>
    <w:rsid w:val="00285D97"/>
    <w:rsid w:val="00285FEB"/>
    <w:rsid w:val="00286173"/>
    <w:rsid w:val="002861AC"/>
    <w:rsid w:val="00286918"/>
    <w:rsid w:val="00286B04"/>
    <w:rsid w:val="00287AC4"/>
    <w:rsid w:val="00290506"/>
    <w:rsid w:val="00290510"/>
    <w:rsid w:val="002913D3"/>
    <w:rsid w:val="002913E9"/>
    <w:rsid w:val="00291E03"/>
    <w:rsid w:val="002920D4"/>
    <w:rsid w:val="00292415"/>
    <w:rsid w:val="0029274A"/>
    <w:rsid w:val="002928EC"/>
    <w:rsid w:val="0029291F"/>
    <w:rsid w:val="00292C1E"/>
    <w:rsid w:val="00292CD8"/>
    <w:rsid w:val="00292DDF"/>
    <w:rsid w:val="002932E6"/>
    <w:rsid w:val="00293747"/>
    <w:rsid w:val="0029386D"/>
    <w:rsid w:val="00293A7C"/>
    <w:rsid w:val="00293E46"/>
    <w:rsid w:val="002940C7"/>
    <w:rsid w:val="00294BC7"/>
    <w:rsid w:val="00294DF3"/>
    <w:rsid w:val="0029514E"/>
    <w:rsid w:val="002954F9"/>
    <w:rsid w:val="00295D73"/>
    <w:rsid w:val="00295E3E"/>
    <w:rsid w:val="002964CD"/>
    <w:rsid w:val="00296725"/>
    <w:rsid w:val="002972FD"/>
    <w:rsid w:val="00297970"/>
    <w:rsid w:val="00297A0D"/>
    <w:rsid w:val="00297EA6"/>
    <w:rsid w:val="002A133C"/>
    <w:rsid w:val="002A1801"/>
    <w:rsid w:val="002A1929"/>
    <w:rsid w:val="002A1E9B"/>
    <w:rsid w:val="002A215E"/>
    <w:rsid w:val="002A2311"/>
    <w:rsid w:val="002A23DB"/>
    <w:rsid w:val="002A2866"/>
    <w:rsid w:val="002A3249"/>
    <w:rsid w:val="002A33BB"/>
    <w:rsid w:val="002A38BF"/>
    <w:rsid w:val="002A3A29"/>
    <w:rsid w:val="002A3C01"/>
    <w:rsid w:val="002A40B2"/>
    <w:rsid w:val="002A447B"/>
    <w:rsid w:val="002A47E2"/>
    <w:rsid w:val="002A4A7E"/>
    <w:rsid w:val="002A50F4"/>
    <w:rsid w:val="002A53EF"/>
    <w:rsid w:val="002A5593"/>
    <w:rsid w:val="002A56C4"/>
    <w:rsid w:val="002A5FB1"/>
    <w:rsid w:val="002A627C"/>
    <w:rsid w:val="002A6576"/>
    <w:rsid w:val="002A6666"/>
    <w:rsid w:val="002A6798"/>
    <w:rsid w:val="002A6B99"/>
    <w:rsid w:val="002A6DFE"/>
    <w:rsid w:val="002A70AE"/>
    <w:rsid w:val="002A70E9"/>
    <w:rsid w:val="002A7E43"/>
    <w:rsid w:val="002B00B2"/>
    <w:rsid w:val="002B03F2"/>
    <w:rsid w:val="002B0656"/>
    <w:rsid w:val="002B0F94"/>
    <w:rsid w:val="002B1224"/>
    <w:rsid w:val="002B1355"/>
    <w:rsid w:val="002B1D10"/>
    <w:rsid w:val="002B1FC0"/>
    <w:rsid w:val="002B24CA"/>
    <w:rsid w:val="002B2DF2"/>
    <w:rsid w:val="002B31D0"/>
    <w:rsid w:val="002B3D27"/>
    <w:rsid w:val="002B47AB"/>
    <w:rsid w:val="002B4BB3"/>
    <w:rsid w:val="002B4F45"/>
    <w:rsid w:val="002B4FC5"/>
    <w:rsid w:val="002B5266"/>
    <w:rsid w:val="002B60B1"/>
    <w:rsid w:val="002B62E0"/>
    <w:rsid w:val="002B6A60"/>
    <w:rsid w:val="002B71D6"/>
    <w:rsid w:val="002B7750"/>
    <w:rsid w:val="002B7A22"/>
    <w:rsid w:val="002C054B"/>
    <w:rsid w:val="002C08D2"/>
    <w:rsid w:val="002C0AE5"/>
    <w:rsid w:val="002C0E1B"/>
    <w:rsid w:val="002C0E55"/>
    <w:rsid w:val="002C1344"/>
    <w:rsid w:val="002C156F"/>
    <w:rsid w:val="002C1C90"/>
    <w:rsid w:val="002C21FA"/>
    <w:rsid w:val="002C26FD"/>
    <w:rsid w:val="002C2792"/>
    <w:rsid w:val="002C27B4"/>
    <w:rsid w:val="002C2D9B"/>
    <w:rsid w:val="002C2F16"/>
    <w:rsid w:val="002C3473"/>
    <w:rsid w:val="002C3A56"/>
    <w:rsid w:val="002C3E49"/>
    <w:rsid w:val="002C414B"/>
    <w:rsid w:val="002C425B"/>
    <w:rsid w:val="002C4416"/>
    <w:rsid w:val="002C4530"/>
    <w:rsid w:val="002C474C"/>
    <w:rsid w:val="002C482D"/>
    <w:rsid w:val="002C4C23"/>
    <w:rsid w:val="002C569E"/>
    <w:rsid w:val="002C574F"/>
    <w:rsid w:val="002C5B0C"/>
    <w:rsid w:val="002C6DDB"/>
    <w:rsid w:val="002C75FA"/>
    <w:rsid w:val="002C7975"/>
    <w:rsid w:val="002C79D9"/>
    <w:rsid w:val="002C7E65"/>
    <w:rsid w:val="002D0167"/>
    <w:rsid w:val="002D04B0"/>
    <w:rsid w:val="002D0CDE"/>
    <w:rsid w:val="002D1132"/>
    <w:rsid w:val="002D15C0"/>
    <w:rsid w:val="002D18C5"/>
    <w:rsid w:val="002D1E0D"/>
    <w:rsid w:val="002D1FC7"/>
    <w:rsid w:val="002D23BC"/>
    <w:rsid w:val="002D23E7"/>
    <w:rsid w:val="002D2A77"/>
    <w:rsid w:val="002D2D67"/>
    <w:rsid w:val="002D2DA1"/>
    <w:rsid w:val="002D2F06"/>
    <w:rsid w:val="002D3247"/>
    <w:rsid w:val="002D37F6"/>
    <w:rsid w:val="002D41C7"/>
    <w:rsid w:val="002D421E"/>
    <w:rsid w:val="002D4275"/>
    <w:rsid w:val="002D476A"/>
    <w:rsid w:val="002D4A54"/>
    <w:rsid w:val="002D5129"/>
    <w:rsid w:val="002D533B"/>
    <w:rsid w:val="002D5A61"/>
    <w:rsid w:val="002D6233"/>
    <w:rsid w:val="002D6393"/>
    <w:rsid w:val="002D63C0"/>
    <w:rsid w:val="002D6713"/>
    <w:rsid w:val="002D6935"/>
    <w:rsid w:val="002D74D5"/>
    <w:rsid w:val="002D775E"/>
    <w:rsid w:val="002D7AA8"/>
    <w:rsid w:val="002D7B3E"/>
    <w:rsid w:val="002D7C9E"/>
    <w:rsid w:val="002E03E6"/>
    <w:rsid w:val="002E06DF"/>
    <w:rsid w:val="002E0B7F"/>
    <w:rsid w:val="002E0EC6"/>
    <w:rsid w:val="002E12CC"/>
    <w:rsid w:val="002E14C5"/>
    <w:rsid w:val="002E1B15"/>
    <w:rsid w:val="002E1BEF"/>
    <w:rsid w:val="002E2308"/>
    <w:rsid w:val="002E2597"/>
    <w:rsid w:val="002E2D9D"/>
    <w:rsid w:val="002E32AE"/>
    <w:rsid w:val="002E3459"/>
    <w:rsid w:val="002E35A8"/>
    <w:rsid w:val="002E3C9F"/>
    <w:rsid w:val="002E3FD1"/>
    <w:rsid w:val="002E3FD8"/>
    <w:rsid w:val="002E4512"/>
    <w:rsid w:val="002E4689"/>
    <w:rsid w:val="002E4863"/>
    <w:rsid w:val="002E4E8E"/>
    <w:rsid w:val="002E5147"/>
    <w:rsid w:val="002E6463"/>
    <w:rsid w:val="002E71A8"/>
    <w:rsid w:val="002E71BD"/>
    <w:rsid w:val="002E740D"/>
    <w:rsid w:val="002E767D"/>
    <w:rsid w:val="002E7C9F"/>
    <w:rsid w:val="002E7E11"/>
    <w:rsid w:val="002E7FB3"/>
    <w:rsid w:val="002F05BA"/>
    <w:rsid w:val="002F074B"/>
    <w:rsid w:val="002F0935"/>
    <w:rsid w:val="002F0B3A"/>
    <w:rsid w:val="002F0E2B"/>
    <w:rsid w:val="002F0FA6"/>
    <w:rsid w:val="002F0FCD"/>
    <w:rsid w:val="002F1330"/>
    <w:rsid w:val="002F2C37"/>
    <w:rsid w:val="002F35D0"/>
    <w:rsid w:val="002F4514"/>
    <w:rsid w:val="002F4B37"/>
    <w:rsid w:val="002F4DF2"/>
    <w:rsid w:val="002F5286"/>
    <w:rsid w:val="002F5689"/>
    <w:rsid w:val="002F5872"/>
    <w:rsid w:val="002F5E07"/>
    <w:rsid w:val="002F5F66"/>
    <w:rsid w:val="002F6194"/>
    <w:rsid w:val="002F63D3"/>
    <w:rsid w:val="002F718E"/>
    <w:rsid w:val="002F76C6"/>
    <w:rsid w:val="002F783A"/>
    <w:rsid w:val="002F78F1"/>
    <w:rsid w:val="002F7ACB"/>
    <w:rsid w:val="002F7C0C"/>
    <w:rsid w:val="002F7D7E"/>
    <w:rsid w:val="0030036A"/>
    <w:rsid w:val="003003C1"/>
    <w:rsid w:val="003005D0"/>
    <w:rsid w:val="00300627"/>
    <w:rsid w:val="003008E6"/>
    <w:rsid w:val="00300ABC"/>
    <w:rsid w:val="00301521"/>
    <w:rsid w:val="00301702"/>
    <w:rsid w:val="0030177F"/>
    <w:rsid w:val="00301AF4"/>
    <w:rsid w:val="00302CBC"/>
    <w:rsid w:val="003031C9"/>
    <w:rsid w:val="00303944"/>
    <w:rsid w:val="00303A0C"/>
    <w:rsid w:val="00303AED"/>
    <w:rsid w:val="00303C62"/>
    <w:rsid w:val="003040C6"/>
    <w:rsid w:val="003041A5"/>
    <w:rsid w:val="0030426B"/>
    <w:rsid w:val="0030469D"/>
    <w:rsid w:val="003047EF"/>
    <w:rsid w:val="00305092"/>
    <w:rsid w:val="00306013"/>
    <w:rsid w:val="003068DA"/>
    <w:rsid w:val="00306AA8"/>
    <w:rsid w:val="00306E1B"/>
    <w:rsid w:val="0030786D"/>
    <w:rsid w:val="00307A22"/>
    <w:rsid w:val="00310242"/>
    <w:rsid w:val="003108F3"/>
    <w:rsid w:val="00310EE0"/>
    <w:rsid w:val="0031106A"/>
    <w:rsid w:val="003111DB"/>
    <w:rsid w:val="003113B9"/>
    <w:rsid w:val="003119FE"/>
    <w:rsid w:val="00311F30"/>
    <w:rsid w:val="00312366"/>
    <w:rsid w:val="003127F6"/>
    <w:rsid w:val="00312A65"/>
    <w:rsid w:val="00312CE0"/>
    <w:rsid w:val="00312EEF"/>
    <w:rsid w:val="00313E35"/>
    <w:rsid w:val="00314AB8"/>
    <w:rsid w:val="00314B31"/>
    <w:rsid w:val="00314C71"/>
    <w:rsid w:val="003157E0"/>
    <w:rsid w:val="003159F3"/>
    <w:rsid w:val="00315DC4"/>
    <w:rsid w:val="003160A0"/>
    <w:rsid w:val="0031650C"/>
    <w:rsid w:val="00316772"/>
    <w:rsid w:val="00316E8E"/>
    <w:rsid w:val="00317071"/>
    <w:rsid w:val="003175A3"/>
    <w:rsid w:val="00317641"/>
    <w:rsid w:val="00317D22"/>
    <w:rsid w:val="00320567"/>
    <w:rsid w:val="0032059E"/>
    <w:rsid w:val="00320664"/>
    <w:rsid w:val="00320CD8"/>
    <w:rsid w:val="003212CF"/>
    <w:rsid w:val="003214D2"/>
    <w:rsid w:val="00321884"/>
    <w:rsid w:val="00322026"/>
    <w:rsid w:val="003220B4"/>
    <w:rsid w:val="003220CB"/>
    <w:rsid w:val="003220FE"/>
    <w:rsid w:val="0032246A"/>
    <w:rsid w:val="003225C8"/>
    <w:rsid w:val="00322A26"/>
    <w:rsid w:val="00322BC0"/>
    <w:rsid w:val="003236A8"/>
    <w:rsid w:val="003238C5"/>
    <w:rsid w:val="003249EC"/>
    <w:rsid w:val="00324D43"/>
    <w:rsid w:val="00324E4E"/>
    <w:rsid w:val="00325A52"/>
    <w:rsid w:val="00326555"/>
    <w:rsid w:val="00326632"/>
    <w:rsid w:val="003269A2"/>
    <w:rsid w:val="00326A55"/>
    <w:rsid w:val="00326D9F"/>
    <w:rsid w:val="00327296"/>
    <w:rsid w:val="003274D8"/>
    <w:rsid w:val="0032753C"/>
    <w:rsid w:val="003275E1"/>
    <w:rsid w:val="00327961"/>
    <w:rsid w:val="00327B38"/>
    <w:rsid w:val="00327CBC"/>
    <w:rsid w:val="00327E25"/>
    <w:rsid w:val="0033058F"/>
    <w:rsid w:val="00330DF8"/>
    <w:rsid w:val="00331928"/>
    <w:rsid w:val="00331AE5"/>
    <w:rsid w:val="00331E2C"/>
    <w:rsid w:val="00331FCF"/>
    <w:rsid w:val="003320F1"/>
    <w:rsid w:val="00332477"/>
    <w:rsid w:val="00332975"/>
    <w:rsid w:val="0033397E"/>
    <w:rsid w:val="00333B17"/>
    <w:rsid w:val="00334FBF"/>
    <w:rsid w:val="00335080"/>
    <w:rsid w:val="0033536B"/>
    <w:rsid w:val="00335464"/>
    <w:rsid w:val="0033553F"/>
    <w:rsid w:val="00335AB8"/>
    <w:rsid w:val="00335B8B"/>
    <w:rsid w:val="00335BDE"/>
    <w:rsid w:val="00335D2A"/>
    <w:rsid w:val="00335F04"/>
    <w:rsid w:val="003360E0"/>
    <w:rsid w:val="00336297"/>
    <w:rsid w:val="0033641C"/>
    <w:rsid w:val="003364B6"/>
    <w:rsid w:val="00336525"/>
    <w:rsid w:val="0033676C"/>
    <w:rsid w:val="00336DB9"/>
    <w:rsid w:val="003379A9"/>
    <w:rsid w:val="00337FD2"/>
    <w:rsid w:val="00340307"/>
    <w:rsid w:val="003403C4"/>
    <w:rsid w:val="003403DA"/>
    <w:rsid w:val="00340562"/>
    <w:rsid w:val="0034059C"/>
    <w:rsid w:val="00342361"/>
    <w:rsid w:val="003429B6"/>
    <w:rsid w:val="00342B67"/>
    <w:rsid w:val="00342D7C"/>
    <w:rsid w:val="0034305F"/>
    <w:rsid w:val="00343061"/>
    <w:rsid w:val="003435C3"/>
    <w:rsid w:val="003437CD"/>
    <w:rsid w:val="00343B56"/>
    <w:rsid w:val="00343D91"/>
    <w:rsid w:val="00343FDD"/>
    <w:rsid w:val="0034430B"/>
    <w:rsid w:val="00344816"/>
    <w:rsid w:val="00344B5D"/>
    <w:rsid w:val="00344DA9"/>
    <w:rsid w:val="00344E69"/>
    <w:rsid w:val="0034500C"/>
    <w:rsid w:val="003450E0"/>
    <w:rsid w:val="00345FEB"/>
    <w:rsid w:val="00346C02"/>
    <w:rsid w:val="00346D88"/>
    <w:rsid w:val="00346D8E"/>
    <w:rsid w:val="00346D99"/>
    <w:rsid w:val="00347B90"/>
    <w:rsid w:val="00347FA6"/>
    <w:rsid w:val="003502D5"/>
    <w:rsid w:val="00350615"/>
    <w:rsid w:val="0035133D"/>
    <w:rsid w:val="003515E5"/>
    <w:rsid w:val="00351BA1"/>
    <w:rsid w:val="00351E1C"/>
    <w:rsid w:val="00351EB9"/>
    <w:rsid w:val="00351F55"/>
    <w:rsid w:val="00352015"/>
    <w:rsid w:val="0035212D"/>
    <w:rsid w:val="0035221F"/>
    <w:rsid w:val="00352233"/>
    <w:rsid w:val="00352237"/>
    <w:rsid w:val="00352345"/>
    <w:rsid w:val="00352474"/>
    <w:rsid w:val="0035287D"/>
    <w:rsid w:val="00352CDE"/>
    <w:rsid w:val="00352E3F"/>
    <w:rsid w:val="00353148"/>
    <w:rsid w:val="00353937"/>
    <w:rsid w:val="0035463C"/>
    <w:rsid w:val="0035491B"/>
    <w:rsid w:val="00355085"/>
    <w:rsid w:val="0035535C"/>
    <w:rsid w:val="003553F4"/>
    <w:rsid w:val="003560CF"/>
    <w:rsid w:val="003563C0"/>
    <w:rsid w:val="00356742"/>
    <w:rsid w:val="00356F19"/>
    <w:rsid w:val="00357101"/>
    <w:rsid w:val="00357769"/>
    <w:rsid w:val="00357DE1"/>
    <w:rsid w:val="003601E1"/>
    <w:rsid w:val="003611FA"/>
    <w:rsid w:val="00361562"/>
    <w:rsid w:val="003615B0"/>
    <w:rsid w:val="0036176A"/>
    <w:rsid w:val="00361770"/>
    <w:rsid w:val="00361EB5"/>
    <w:rsid w:val="00362186"/>
    <w:rsid w:val="00362735"/>
    <w:rsid w:val="00362962"/>
    <w:rsid w:val="0036301E"/>
    <w:rsid w:val="00363073"/>
    <w:rsid w:val="00363212"/>
    <w:rsid w:val="00363986"/>
    <w:rsid w:val="0036406A"/>
    <w:rsid w:val="003646CA"/>
    <w:rsid w:val="0036477B"/>
    <w:rsid w:val="00364820"/>
    <w:rsid w:val="00364BCA"/>
    <w:rsid w:val="00364BDA"/>
    <w:rsid w:val="00364D99"/>
    <w:rsid w:val="003654A5"/>
    <w:rsid w:val="00365840"/>
    <w:rsid w:val="00365E45"/>
    <w:rsid w:val="00365EBF"/>
    <w:rsid w:val="003660C0"/>
    <w:rsid w:val="00366497"/>
    <w:rsid w:val="00366915"/>
    <w:rsid w:val="00366E79"/>
    <w:rsid w:val="00366F73"/>
    <w:rsid w:val="003676B7"/>
    <w:rsid w:val="00367EE7"/>
    <w:rsid w:val="00370693"/>
    <w:rsid w:val="003706E9"/>
    <w:rsid w:val="00370AF1"/>
    <w:rsid w:val="00370C52"/>
    <w:rsid w:val="00370D76"/>
    <w:rsid w:val="0037161D"/>
    <w:rsid w:val="00371E8B"/>
    <w:rsid w:val="003721D4"/>
    <w:rsid w:val="00372227"/>
    <w:rsid w:val="00372EB6"/>
    <w:rsid w:val="003740F0"/>
    <w:rsid w:val="00374667"/>
    <w:rsid w:val="00374D66"/>
    <w:rsid w:val="00374E61"/>
    <w:rsid w:val="00374EF7"/>
    <w:rsid w:val="00374FBC"/>
    <w:rsid w:val="00375038"/>
    <w:rsid w:val="00375210"/>
    <w:rsid w:val="00376035"/>
    <w:rsid w:val="0037619C"/>
    <w:rsid w:val="003764AD"/>
    <w:rsid w:val="0037677B"/>
    <w:rsid w:val="00377065"/>
    <w:rsid w:val="00377A71"/>
    <w:rsid w:val="00377BD5"/>
    <w:rsid w:val="00377D4A"/>
    <w:rsid w:val="00377DD1"/>
    <w:rsid w:val="003809A8"/>
    <w:rsid w:val="00380E88"/>
    <w:rsid w:val="00381B38"/>
    <w:rsid w:val="00381D72"/>
    <w:rsid w:val="00381E31"/>
    <w:rsid w:val="00382563"/>
    <w:rsid w:val="0038284F"/>
    <w:rsid w:val="00382ABF"/>
    <w:rsid w:val="00382C70"/>
    <w:rsid w:val="00382D8B"/>
    <w:rsid w:val="00382EA1"/>
    <w:rsid w:val="00383297"/>
    <w:rsid w:val="003836AB"/>
    <w:rsid w:val="0038394A"/>
    <w:rsid w:val="0038403A"/>
    <w:rsid w:val="003846CE"/>
    <w:rsid w:val="003850C5"/>
    <w:rsid w:val="0038510C"/>
    <w:rsid w:val="0038558D"/>
    <w:rsid w:val="00386292"/>
    <w:rsid w:val="003864A9"/>
    <w:rsid w:val="003871BC"/>
    <w:rsid w:val="00387231"/>
    <w:rsid w:val="00387515"/>
    <w:rsid w:val="00387B8E"/>
    <w:rsid w:val="00387E1E"/>
    <w:rsid w:val="00390A0D"/>
    <w:rsid w:val="003910B1"/>
    <w:rsid w:val="003912A9"/>
    <w:rsid w:val="0039184A"/>
    <w:rsid w:val="0039238E"/>
    <w:rsid w:val="00392445"/>
    <w:rsid w:val="0039298D"/>
    <w:rsid w:val="003929EF"/>
    <w:rsid w:val="003936F3"/>
    <w:rsid w:val="0039435B"/>
    <w:rsid w:val="0039438B"/>
    <w:rsid w:val="00394AFC"/>
    <w:rsid w:val="00394DB1"/>
    <w:rsid w:val="00394FF4"/>
    <w:rsid w:val="0039516E"/>
    <w:rsid w:val="00395D20"/>
    <w:rsid w:val="00395FDD"/>
    <w:rsid w:val="003968A4"/>
    <w:rsid w:val="00396B0E"/>
    <w:rsid w:val="00396E87"/>
    <w:rsid w:val="00397C3B"/>
    <w:rsid w:val="003A021C"/>
    <w:rsid w:val="003A02AB"/>
    <w:rsid w:val="003A0781"/>
    <w:rsid w:val="003A0819"/>
    <w:rsid w:val="003A0D87"/>
    <w:rsid w:val="003A1A53"/>
    <w:rsid w:val="003A1C41"/>
    <w:rsid w:val="003A23CE"/>
    <w:rsid w:val="003A2514"/>
    <w:rsid w:val="003A27DF"/>
    <w:rsid w:val="003A2804"/>
    <w:rsid w:val="003A2E90"/>
    <w:rsid w:val="003A3193"/>
    <w:rsid w:val="003A35E5"/>
    <w:rsid w:val="003A36BC"/>
    <w:rsid w:val="003A37A1"/>
    <w:rsid w:val="003A3998"/>
    <w:rsid w:val="003A3D38"/>
    <w:rsid w:val="003A3E15"/>
    <w:rsid w:val="003A438A"/>
    <w:rsid w:val="003A4B44"/>
    <w:rsid w:val="003A4C15"/>
    <w:rsid w:val="003A4E2C"/>
    <w:rsid w:val="003A509E"/>
    <w:rsid w:val="003A5408"/>
    <w:rsid w:val="003A5614"/>
    <w:rsid w:val="003A5897"/>
    <w:rsid w:val="003A5BDA"/>
    <w:rsid w:val="003A5D63"/>
    <w:rsid w:val="003A6051"/>
    <w:rsid w:val="003A6E3D"/>
    <w:rsid w:val="003A761A"/>
    <w:rsid w:val="003A7B39"/>
    <w:rsid w:val="003B0046"/>
    <w:rsid w:val="003B038E"/>
    <w:rsid w:val="003B06D9"/>
    <w:rsid w:val="003B0902"/>
    <w:rsid w:val="003B0BF2"/>
    <w:rsid w:val="003B1F4A"/>
    <w:rsid w:val="003B27C6"/>
    <w:rsid w:val="003B2811"/>
    <w:rsid w:val="003B3153"/>
    <w:rsid w:val="003B3439"/>
    <w:rsid w:val="003B352E"/>
    <w:rsid w:val="003B3776"/>
    <w:rsid w:val="003B3961"/>
    <w:rsid w:val="003B3B2D"/>
    <w:rsid w:val="003B44CF"/>
    <w:rsid w:val="003B4CF0"/>
    <w:rsid w:val="003B4F9D"/>
    <w:rsid w:val="003B51A2"/>
    <w:rsid w:val="003B51E2"/>
    <w:rsid w:val="003B553B"/>
    <w:rsid w:val="003B596E"/>
    <w:rsid w:val="003B59ED"/>
    <w:rsid w:val="003B6424"/>
    <w:rsid w:val="003B6A81"/>
    <w:rsid w:val="003B70BB"/>
    <w:rsid w:val="003B7152"/>
    <w:rsid w:val="003B7421"/>
    <w:rsid w:val="003B770F"/>
    <w:rsid w:val="003B7CC6"/>
    <w:rsid w:val="003C0BA9"/>
    <w:rsid w:val="003C0CED"/>
    <w:rsid w:val="003C0EC1"/>
    <w:rsid w:val="003C14E3"/>
    <w:rsid w:val="003C1812"/>
    <w:rsid w:val="003C19F7"/>
    <w:rsid w:val="003C1AEB"/>
    <w:rsid w:val="003C1CA0"/>
    <w:rsid w:val="003C1DD1"/>
    <w:rsid w:val="003C2480"/>
    <w:rsid w:val="003C2507"/>
    <w:rsid w:val="003C260D"/>
    <w:rsid w:val="003C293D"/>
    <w:rsid w:val="003C2DA5"/>
    <w:rsid w:val="003C32B4"/>
    <w:rsid w:val="003C37FE"/>
    <w:rsid w:val="003C38DF"/>
    <w:rsid w:val="003C39A2"/>
    <w:rsid w:val="003C3FF2"/>
    <w:rsid w:val="003C44FB"/>
    <w:rsid w:val="003C4940"/>
    <w:rsid w:val="003C5A6B"/>
    <w:rsid w:val="003C619D"/>
    <w:rsid w:val="003C6774"/>
    <w:rsid w:val="003C6926"/>
    <w:rsid w:val="003C69AE"/>
    <w:rsid w:val="003C76AB"/>
    <w:rsid w:val="003C7D0C"/>
    <w:rsid w:val="003D04BB"/>
    <w:rsid w:val="003D130E"/>
    <w:rsid w:val="003D1600"/>
    <w:rsid w:val="003D1844"/>
    <w:rsid w:val="003D1CF9"/>
    <w:rsid w:val="003D2012"/>
    <w:rsid w:val="003D24C4"/>
    <w:rsid w:val="003D256A"/>
    <w:rsid w:val="003D25CF"/>
    <w:rsid w:val="003D2D35"/>
    <w:rsid w:val="003D3A57"/>
    <w:rsid w:val="003D3D64"/>
    <w:rsid w:val="003D47AA"/>
    <w:rsid w:val="003D4EDA"/>
    <w:rsid w:val="003D4EF6"/>
    <w:rsid w:val="003D54C5"/>
    <w:rsid w:val="003D5EE8"/>
    <w:rsid w:val="003D607F"/>
    <w:rsid w:val="003D6A8E"/>
    <w:rsid w:val="003D7055"/>
    <w:rsid w:val="003D73C6"/>
    <w:rsid w:val="003D7556"/>
    <w:rsid w:val="003D79FB"/>
    <w:rsid w:val="003D7B22"/>
    <w:rsid w:val="003D7FAD"/>
    <w:rsid w:val="003E06BE"/>
    <w:rsid w:val="003E079B"/>
    <w:rsid w:val="003E0A0D"/>
    <w:rsid w:val="003E1B79"/>
    <w:rsid w:val="003E1BA8"/>
    <w:rsid w:val="003E1E84"/>
    <w:rsid w:val="003E1E85"/>
    <w:rsid w:val="003E1EDD"/>
    <w:rsid w:val="003E2C2A"/>
    <w:rsid w:val="003E2E1C"/>
    <w:rsid w:val="003E37E5"/>
    <w:rsid w:val="003E3DD2"/>
    <w:rsid w:val="003E3EFB"/>
    <w:rsid w:val="003E42E8"/>
    <w:rsid w:val="003E42F7"/>
    <w:rsid w:val="003E4F99"/>
    <w:rsid w:val="003E5103"/>
    <w:rsid w:val="003E5242"/>
    <w:rsid w:val="003E5BAD"/>
    <w:rsid w:val="003E5C90"/>
    <w:rsid w:val="003E5ED2"/>
    <w:rsid w:val="003E60A0"/>
    <w:rsid w:val="003E675C"/>
    <w:rsid w:val="003E7857"/>
    <w:rsid w:val="003E7C54"/>
    <w:rsid w:val="003E7E16"/>
    <w:rsid w:val="003E7E20"/>
    <w:rsid w:val="003F0069"/>
    <w:rsid w:val="003F0618"/>
    <w:rsid w:val="003F09E1"/>
    <w:rsid w:val="003F17CE"/>
    <w:rsid w:val="003F212E"/>
    <w:rsid w:val="003F2B03"/>
    <w:rsid w:val="003F2D1F"/>
    <w:rsid w:val="003F2E7E"/>
    <w:rsid w:val="003F3529"/>
    <w:rsid w:val="003F46D0"/>
    <w:rsid w:val="003F47D8"/>
    <w:rsid w:val="003F484E"/>
    <w:rsid w:val="003F4B07"/>
    <w:rsid w:val="003F4E04"/>
    <w:rsid w:val="003F4ED6"/>
    <w:rsid w:val="003F5360"/>
    <w:rsid w:val="003F5C34"/>
    <w:rsid w:val="003F5CF5"/>
    <w:rsid w:val="003F6780"/>
    <w:rsid w:val="003F6836"/>
    <w:rsid w:val="003F6A40"/>
    <w:rsid w:val="003F7020"/>
    <w:rsid w:val="003F7090"/>
    <w:rsid w:val="0040011E"/>
    <w:rsid w:val="00400463"/>
    <w:rsid w:val="004005D5"/>
    <w:rsid w:val="004017F5"/>
    <w:rsid w:val="00401DB0"/>
    <w:rsid w:val="00401FA0"/>
    <w:rsid w:val="00402351"/>
    <w:rsid w:val="0040294D"/>
    <w:rsid w:val="00402A6E"/>
    <w:rsid w:val="00402AC0"/>
    <w:rsid w:val="00402E59"/>
    <w:rsid w:val="00403C23"/>
    <w:rsid w:val="004041A3"/>
    <w:rsid w:val="00404333"/>
    <w:rsid w:val="00404809"/>
    <w:rsid w:val="0040485E"/>
    <w:rsid w:val="00404E6E"/>
    <w:rsid w:val="00404F96"/>
    <w:rsid w:val="0040558D"/>
    <w:rsid w:val="00405FA1"/>
    <w:rsid w:val="0040628E"/>
    <w:rsid w:val="00407B43"/>
    <w:rsid w:val="00410545"/>
    <w:rsid w:val="00410D64"/>
    <w:rsid w:val="004115F3"/>
    <w:rsid w:val="00411DB9"/>
    <w:rsid w:val="00411E94"/>
    <w:rsid w:val="00412812"/>
    <w:rsid w:val="00412CE5"/>
    <w:rsid w:val="00413EC6"/>
    <w:rsid w:val="00414BE4"/>
    <w:rsid w:val="00414C66"/>
    <w:rsid w:val="004150DA"/>
    <w:rsid w:val="004159B9"/>
    <w:rsid w:val="004159E6"/>
    <w:rsid w:val="00415CA3"/>
    <w:rsid w:val="00415D94"/>
    <w:rsid w:val="00415EDD"/>
    <w:rsid w:val="00415F8A"/>
    <w:rsid w:val="00415F96"/>
    <w:rsid w:val="00416201"/>
    <w:rsid w:val="00416622"/>
    <w:rsid w:val="004166A2"/>
    <w:rsid w:val="00416CE3"/>
    <w:rsid w:val="00416F3F"/>
    <w:rsid w:val="004179DC"/>
    <w:rsid w:val="00417A27"/>
    <w:rsid w:val="004200E0"/>
    <w:rsid w:val="00420E88"/>
    <w:rsid w:val="00421111"/>
    <w:rsid w:val="00421480"/>
    <w:rsid w:val="004215E7"/>
    <w:rsid w:val="00421D0C"/>
    <w:rsid w:val="004224A3"/>
    <w:rsid w:val="00422627"/>
    <w:rsid w:val="00422650"/>
    <w:rsid w:val="004226D4"/>
    <w:rsid w:val="00422746"/>
    <w:rsid w:val="004230E6"/>
    <w:rsid w:val="004238AB"/>
    <w:rsid w:val="004243FE"/>
    <w:rsid w:val="00424B22"/>
    <w:rsid w:val="00424EAC"/>
    <w:rsid w:val="00425CDB"/>
    <w:rsid w:val="004260FF"/>
    <w:rsid w:val="00426114"/>
    <w:rsid w:val="00426FAF"/>
    <w:rsid w:val="00427228"/>
    <w:rsid w:val="00427D83"/>
    <w:rsid w:val="00427F61"/>
    <w:rsid w:val="00427FD2"/>
    <w:rsid w:val="00430B35"/>
    <w:rsid w:val="00430F4B"/>
    <w:rsid w:val="00431265"/>
    <w:rsid w:val="00431701"/>
    <w:rsid w:val="00431E52"/>
    <w:rsid w:val="00431E8C"/>
    <w:rsid w:val="0043216C"/>
    <w:rsid w:val="004329C0"/>
    <w:rsid w:val="00432C1C"/>
    <w:rsid w:val="00432D7E"/>
    <w:rsid w:val="00432E5A"/>
    <w:rsid w:val="004334FA"/>
    <w:rsid w:val="004340DD"/>
    <w:rsid w:val="004340E6"/>
    <w:rsid w:val="0043439F"/>
    <w:rsid w:val="004344A8"/>
    <w:rsid w:val="00434853"/>
    <w:rsid w:val="00434D0A"/>
    <w:rsid w:val="00435292"/>
    <w:rsid w:val="004352AA"/>
    <w:rsid w:val="0043555F"/>
    <w:rsid w:val="00435F28"/>
    <w:rsid w:val="004362AE"/>
    <w:rsid w:val="004367BA"/>
    <w:rsid w:val="00436A81"/>
    <w:rsid w:val="00436C26"/>
    <w:rsid w:val="0043712F"/>
    <w:rsid w:val="00437950"/>
    <w:rsid w:val="00437CCF"/>
    <w:rsid w:val="00441650"/>
    <w:rsid w:val="00441741"/>
    <w:rsid w:val="0044184A"/>
    <w:rsid w:val="00441B90"/>
    <w:rsid w:val="00441FE1"/>
    <w:rsid w:val="00442336"/>
    <w:rsid w:val="0044245B"/>
    <w:rsid w:val="00442836"/>
    <w:rsid w:val="00442A97"/>
    <w:rsid w:val="00442BA0"/>
    <w:rsid w:val="00442C17"/>
    <w:rsid w:val="00442E4A"/>
    <w:rsid w:val="004430D0"/>
    <w:rsid w:val="0044355D"/>
    <w:rsid w:val="004436D0"/>
    <w:rsid w:val="0044373C"/>
    <w:rsid w:val="004439CF"/>
    <w:rsid w:val="00443C61"/>
    <w:rsid w:val="004440DA"/>
    <w:rsid w:val="0044450B"/>
    <w:rsid w:val="00444DDC"/>
    <w:rsid w:val="00445319"/>
    <w:rsid w:val="00445693"/>
    <w:rsid w:val="004456D1"/>
    <w:rsid w:val="00445A55"/>
    <w:rsid w:val="004461A3"/>
    <w:rsid w:val="00446A57"/>
    <w:rsid w:val="00446C4C"/>
    <w:rsid w:val="004478ED"/>
    <w:rsid w:val="00447AF9"/>
    <w:rsid w:val="00447B61"/>
    <w:rsid w:val="004500CB"/>
    <w:rsid w:val="00450756"/>
    <w:rsid w:val="00450BE6"/>
    <w:rsid w:val="00450D01"/>
    <w:rsid w:val="00450D63"/>
    <w:rsid w:val="00450ED9"/>
    <w:rsid w:val="00451490"/>
    <w:rsid w:val="0045155D"/>
    <w:rsid w:val="004516F0"/>
    <w:rsid w:val="004524CB"/>
    <w:rsid w:val="00452686"/>
    <w:rsid w:val="004526AB"/>
    <w:rsid w:val="00452FAD"/>
    <w:rsid w:val="004531AC"/>
    <w:rsid w:val="004534E4"/>
    <w:rsid w:val="00453683"/>
    <w:rsid w:val="0045396F"/>
    <w:rsid w:val="00453F5A"/>
    <w:rsid w:val="004542A3"/>
    <w:rsid w:val="004544AA"/>
    <w:rsid w:val="004552A0"/>
    <w:rsid w:val="0045558F"/>
    <w:rsid w:val="00455C3D"/>
    <w:rsid w:val="0045635A"/>
    <w:rsid w:val="0045641F"/>
    <w:rsid w:val="00456A03"/>
    <w:rsid w:val="004573D6"/>
    <w:rsid w:val="004575B5"/>
    <w:rsid w:val="00457C78"/>
    <w:rsid w:val="00457C93"/>
    <w:rsid w:val="00457D60"/>
    <w:rsid w:val="00457D8A"/>
    <w:rsid w:val="00457F10"/>
    <w:rsid w:val="004604FC"/>
    <w:rsid w:val="0046066A"/>
    <w:rsid w:val="004607ED"/>
    <w:rsid w:val="00460AB9"/>
    <w:rsid w:val="00460B96"/>
    <w:rsid w:val="00460CA6"/>
    <w:rsid w:val="004614EB"/>
    <w:rsid w:val="00461645"/>
    <w:rsid w:val="004616CE"/>
    <w:rsid w:val="004617A3"/>
    <w:rsid w:val="00461CEB"/>
    <w:rsid w:val="004620EC"/>
    <w:rsid w:val="004627B2"/>
    <w:rsid w:val="00462972"/>
    <w:rsid w:val="0046325E"/>
    <w:rsid w:val="00463323"/>
    <w:rsid w:val="00463B5A"/>
    <w:rsid w:val="00463FEF"/>
    <w:rsid w:val="0046402B"/>
    <w:rsid w:val="004640A6"/>
    <w:rsid w:val="004644F9"/>
    <w:rsid w:val="004646E4"/>
    <w:rsid w:val="00464F58"/>
    <w:rsid w:val="00464F62"/>
    <w:rsid w:val="004650EA"/>
    <w:rsid w:val="00465571"/>
    <w:rsid w:val="0046585F"/>
    <w:rsid w:val="00465B4D"/>
    <w:rsid w:val="00466004"/>
    <w:rsid w:val="004660AF"/>
    <w:rsid w:val="00466111"/>
    <w:rsid w:val="00466159"/>
    <w:rsid w:val="00466239"/>
    <w:rsid w:val="004662BC"/>
    <w:rsid w:val="00466444"/>
    <w:rsid w:val="00466808"/>
    <w:rsid w:val="00467191"/>
    <w:rsid w:val="0046758A"/>
    <w:rsid w:val="00467603"/>
    <w:rsid w:val="00470A97"/>
    <w:rsid w:val="00470A9D"/>
    <w:rsid w:val="00470AC6"/>
    <w:rsid w:val="00471129"/>
    <w:rsid w:val="00471165"/>
    <w:rsid w:val="00471849"/>
    <w:rsid w:val="00471BE1"/>
    <w:rsid w:val="004720EC"/>
    <w:rsid w:val="00472264"/>
    <w:rsid w:val="004722E0"/>
    <w:rsid w:val="00472894"/>
    <w:rsid w:val="00472E4F"/>
    <w:rsid w:val="00473156"/>
    <w:rsid w:val="00473A80"/>
    <w:rsid w:val="00474541"/>
    <w:rsid w:val="004746DC"/>
    <w:rsid w:val="00474A34"/>
    <w:rsid w:val="00474B40"/>
    <w:rsid w:val="00474CE1"/>
    <w:rsid w:val="00475719"/>
    <w:rsid w:val="0047581C"/>
    <w:rsid w:val="00475CBA"/>
    <w:rsid w:val="00476277"/>
    <w:rsid w:val="004768D0"/>
    <w:rsid w:val="00476F10"/>
    <w:rsid w:val="00476F1A"/>
    <w:rsid w:val="00476F2C"/>
    <w:rsid w:val="00477616"/>
    <w:rsid w:val="004776E8"/>
    <w:rsid w:val="004807C4"/>
    <w:rsid w:val="00480ABA"/>
    <w:rsid w:val="004813B1"/>
    <w:rsid w:val="004819F0"/>
    <w:rsid w:val="00481BC4"/>
    <w:rsid w:val="00482261"/>
    <w:rsid w:val="00482466"/>
    <w:rsid w:val="004829C1"/>
    <w:rsid w:val="004829E9"/>
    <w:rsid w:val="00482C59"/>
    <w:rsid w:val="00482F27"/>
    <w:rsid w:val="00483687"/>
    <w:rsid w:val="00483AFC"/>
    <w:rsid w:val="00483EE7"/>
    <w:rsid w:val="00483F4C"/>
    <w:rsid w:val="00484150"/>
    <w:rsid w:val="004843A9"/>
    <w:rsid w:val="004844A2"/>
    <w:rsid w:val="004849ED"/>
    <w:rsid w:val="00484C96"/>
    <w:rsid w:val="00485722"/>
    <w:rsid w:val="004859DE"/>
    <w:rsid w:val="00485AD8"/>
    <w:rsid w:val="00485C42"/>
    <w:rsid w:val="00485EFA"/>
    <w:rsid w:val="004866F1"/>
    <w:rsid w:val="00486763"/>
    <w:rsid w:val="004869A0"/>
    <w:rsid w:val="00486CB5"/>
    <w:rsid w:val="004870C5"/>
    <w:rsid w:val="0048780E"/>
    <w:rsid w:val="00487B0A"/>
    <w:rsid w:val="0049012B"/>
    <w:rsid w:val="00490EE6"/>
    <w:rsid w:val="00490F00"/>
    <w:rsid w:val="004911E4"/>
    <w:rsid w:val="004913AC"/>
    <w:rsid w:val="004919B9"/>
    <w:rsid w:val="00491ABF"/>
    <w:rsid w:val="00491C41"/>
    <w:rsid w:val="00491F5F"/>
    <w:rsid w:val="004923D4"/>
    <w:rsid w:val="00492C6A"/>
    <w:rsid w:val="004930DE"/>
    <w:rsid w:val="00493228"/>
    <w:rsid w:val="004936A5"/>
    <w:rsid w:val="004937B9"/>
    <w:rsid w:val="00494075"/>
    <w:rsid w:val="004948CB"/>
    <w:rsid w:val="0049538A"/>
    <w:rsid w:val="00495A07"/>
    <w:rsid w:val="00495B05"/>
    <w:rsid w:val="00495F6A"/>
    <w:rsid w:val="00496008"/>
    <w:rsid w:val="00496ED8"/>
    <w:rsid w:val="00497356"/>
    <w:rsid w:val="004973A7"/>
    <w:rsid w:val="00497902"/>
    <w:rsid w:val="00497CB3"/>
    <w:rsid w:val="00497FA3"/>
    <w:rsid w:val="004A01A6"/>
    <w:rsid w:val="004A071A"/>
    <w:rsid w:val="004A0723"/>
    <w:rsid w:val="004A0E2F"/>
    <w:rsid w:val="004A0ECC"/>
    <w:rsid w:val="004A1059"/>
    <w:rsid w:val="004A14EE"/>
    <w:rsid w:val="004A181F"/>
    <w:rsid w:val="004A186A"/>
    <w:rsid w:val="004A1BD1"/>
    <w:rsid w:val="004A1C05"/>
    <w:rsid w:val="004A2151"/>
    <w:rsid w:val="004A2F6C"/>
    <w:rsid w:val="004A2FAD"/>
    <w:rsid w:val="004A38A5"/>
    <w:rsid w:val="004A43B5"/>
    <w:rsid w:val="004A4869"/>
    <w:rsid w:val="004A48A2"/>
    <w:rsid w:val="004A4AB5"/>
    <w:rsid w:val="004A4C98"/>
    <w:rsid w:val="004A4F0A"/>
    <w:rsid w:val="004A55ED"/>
    <w:rsid w:val="004A61E8"/>
    <w:rsid w:val="004A63F5"/>
    <w:rsid w:val="004A6848"/>
    <w:rsid w:val="004A6C53"/>
    <w:rsid w:val="004A6D6F"/>
    <w:rsid w:val="004A6D9D"/>
    <w:rsid w:val="004A6F07"/>
    <w:rsid w:val="004A745B"/>
    <w:rsid w:val="004A7525"/>
    <w:rsid w:val="004A791B"/>
    <w:rsid w:val="004A7959"/>
    <w:rsid w:val="004B025A"/>
    <w:rsid w:val="004B05A8"/>
    <w:rsid w:val="004B0D80"/>
    <w:rsid w:val="004B16C6"/>
    <w:rsid w:val="004B1822"/>
    <w:rsid w:val="004B29C3"/>
    <w:rsid w:val="004B2A50"/>
    <w:rsid w:val="004B2AF4"/>
    <w:rsid w:val="004B2BE3"/>
    <w:rsid w:val="004B2C71"/>
    <w:rsid w:val="004B317E"/>
    <w:rsid w:val="004B3229"/>
    <w:rsid w:val="004B32CC"/>
    <w:rsid w:val="004B32F3"/>
    <w:rsid w:val="004B3A49"/>
    <w:rsid w:val="004B3AFF"/>
    <w:rsid w:val="004B4846"/>
    <w:rsid w:val="004B48DB"/>
    <w:rsid w:val="004B5149"/>
    <w:rsid w:val="004B535C"/>
    <w:rsid w:val="004B54B6"/>
    <w:rsid w:val="004B55DA"/>
    <w:rsid w:val="004B5AD9"/>
    <w:rsid w:val="004B5C50"/>
    <w:rsid w:val="004B61EF"/>
    <w:rsid w:val="004B63D4"/>
    <w:rsid w:val="004B6407"/>
    <w:rsid w:val="004B6975"/>
    <w:rsid w:val="004B6B36"/>
    <w:rsid w:val="004B6BB0"/>
    <w:rsid w:val="004B6D4A"/>
    <w:rsid w:val="004B72CF"/>
    <w:rsid w:val="004B7696"/>
    <w:rsid w:val="004C0191"/>
    <w:rsid w:val="004C0572"/>
    <w:rsid w:val="004C0EC2"/>
    <w:rsid w:val="004C181B"/>
    <w:rsid w:val="004C1C4D"/>
    <w:rsid w:val="004C20CC"/>
    <w:rsid w:val="004C2555"/>
    <w:rsid w:val="004C3003"/>
    <w:rsid w:val="004C333D"/>
    <w:rsid w:val="004C34FF"/>
    <w:rsid w:val="004C373B"/>
    <w:rsid w:val="004C3E44"/>
    <w:rsid w:val="004C43B4"/>
    <w:rsid w:val="004C5538"/>
    <w:rsid w:val="004C5909"/>
    <w:rsid w:val="004C63B0"/>
    <w:rsid w:val="004C6C96"/>
    <w:rsid w:val="004C705F"/>
    <w:rsid w:val="004D0323"/>
    <w:rsid w:val="004D0856"/>
    <w:rsid w:val="004D0930"/>
    <w:rsid w:val="004D0CE7"/>
    <w:rsid w:val="004D0F12"/>
    <w:rsid w:val="004D0FA3"/>
    <w:rsid w:val="004D15D8"/>
    <w:rsid w:val="004D1962"/>
    <w:rsid w:val="004D1CB6"/>
    <w:rsid w:val="004D248A"/>
    <w:rsid w:val="004D2BCE"/>
    <w:rsid w:val="004D332B"/>
    <w:rsid w:val="004D405F"/>
    <w:rsid w:val="004D40A0"/>
    <w:rsid w:val="004D439C"/>
    <w:rsid w:val="004D4515"/>
    <w:rsid w:val="004D4D61"/>
    <w:rsid w:val="004D4F35"/>
    <w:rsid w:val="004D58F7"/>
    <w:rsid w:val="004D5B31"/>
    <w:rsid w:val="004D5D4E"/>
    <w:rsid w:val="004D6215"/>
    <w:rsid w:val="004D634D"/>
    <w:rsid w:val="004D68D9"/>
    <w:rsid w:val="004D730F"/>
    <w:rsid w:val="004D7456"/>
    <w:rsid w:val="004D7555"/>
    <w:rsid w:val="004D7C4C"/>
    <w:rsid w:val="004D7F4E"/>
    <w:rsid w:val="004E0023"/>
    <w:rsid w:val="004E00EC"/>
    <w:rsid w:val="004E0200"/>
    <w:rsid w:val="004E023D"/>
    <w:rsid w:val="004E0828"/>
    <w:rsid w:val="004E0C34"/>
    <w:rsid w:val="004E12ED"/>
    <w:rsid w:val="004E13FE"/>
    <w:rsid w:val="004E1594"/>
    <w:rsid w:val="004E16BC"/>
    <w:rsid w:val="004E2665"/>
    <w:rsid w:val="004E2691"/>
    <w:rsid w:val="004E28B7"/>
    <w:rsid w:val="004E2913"/>
    <w:rsid w:val="004E32BF"/>
    <w:rsid w:val="004E48B0"/>
    <w:rsid w:val="004E4BD9"/>
    <w:rsid w:val="004E4D7C"/>
    <w:rsid w:val="004E5876"/>
    <w:rsid w:val="004E627A"/>
    <w:rsid w:val="004E64F6"/>
    <w:rsid w:val="004E6574"/>
    <w:rsid w:val="004E65B4"/>
    <w:rsid w:val="004E6763"/>
    <w:rsid w:val="004E684A"/>
    <w:rsid w:val="004E6D0A"/>
    <w:rsid w:val="004E6DD0"/>
    <w:rsid w:val="004E6E70"/>
    <w:rsid w:val="004E7160"/>
    <w:rsid w:val="004E71B8"/>
    <w:rsid w:val="004E746C"/>
    <w:rsid w:val="004E7851"/>
    <w:rsid w:val="004E7D03"/>
    <w:rsid w:val="004E7DD8"/>
    <w:rsid w:val="004F01DE"/>
    <w:rsid w:val="004F022D"/>
    <w:rsid w:val="004F04AD"/>
    <w:rsid w:val="004F0840"/>
    <w:rsid w:val="004F0983"/>
    <w:rsid w:val="004F0E94"/>
    <w:rsid w:val="004F0ED5"/>
    <w:rsid w:val="004F1A8D"/>
    <w:rsid w:val="004F23FE"/>
    <w:rsid w:val="004F38CE"/>
    <w:rsid w:val="004F39A6"/>
    <w:rsid w:val="004F436F"/>
    <w:rsid w:val="004F43BC"/>
    <w:rsid w:val="004F481C"/>
    <w:rsid w:val="004F4926"/>
    <w:rsid w:val="004F49CA"/>
    <w:rsid w:val="004F4B28"/>
    <w:rsid w:val="004F4C07"/>
    <w:rsid w:val="004F4D10"/>
    <w:rsid w:val="004F4E0D"/>
    <w:rsid w:val="004F5285"/>
    <w:rsid w:val="004F57F5"/>
    <w:rsid w:val="004F6298"/>
    <w:rsid w:val="004F659E"/>
    <w:rsid w:val="004F7160"/>
    <w:rsid w:val="004F7418"/>
    <w:rsid w:val="004F7733"/>
    <w:rsid w:val="004F7A26"/>
    <w:rsid w:val="004F7BEE"/>
    <w:rsid w:val="004F7E71"/>
    <w:rsid w:val="00500225"/>
    <w:rsid w:val="005003BE"/>
    <w:rsid w:val="0050045C"/>
    <w:rsid w:val="005004FE"/>
    <w:rsid w:val="00500A40"/>
    <w:rsid w:val="00500C78"/>
    <w:rsid w:val="0050114B"/>
    <w:rsid w:val="00501783"/>
    <w:rsid w:val="00501DBE"/>
    <w:rsid w:val="005027D2"/>
    <w:rsid w:val="00502CA8"/>
    <w:rsid w:val="0050313C"/>
    <w:rsid w:val="00503D7E"/>
    <w:rsid w:val="0050446C"/>
    <w:rsid w:val="00504CB3"/>
    <w:rsid w:val="00504E0E"/>
    <w:rsid w:val="00505353"/>
    <w:rsid w:val="0050713B"/>
    <w:rsid w:val="00507237"/>
    <w:rsid w:val="00507B90"/>
    <w:rsid w:val="00507E0E"/>
    <w:rsid w:val="00510AA3"/>
    <w:rsid w:val="00511184"/>
    <w:rsid w:val="005121A9"/>
    <w:rsid w:val="005121F0"/>
    <w:rsid w:val="00512B57"/>
    <w:rsid w:val="00512B98"/>
    <w:rsid w:val="00512CE3"/>
    <w:rsid w:val="0051349A"/>
    <w:rsid w:val="005134EA"/>
    <w:rsid w:val="00513985"/>
    <w:rsid w:val="00513C57"/>
    <w:rsid w:val="00513C8D"/>
    <w:rsid w:val="00513D06"/>
    <w:rsid w:val="00514197"/>
    <w:rsid w:val="0051484B"/>
    <w:rsid w:val="0051488C"/>
    <w:rsid w:val="005148F3"/>
    <w:rsid w:val="00514DD6"/>
    <w:rsid w:val="005158EB"/>
    <w:rsid w:val="00515D56"/>
    <w:rsid w:val="00515F44"/>
    <w:rsid w:val="00516139"/>
    <w:rsid w:val="0051631F"/>
    <w:rsid w:val="00516631"/>
    <w:rsid w:val="0051679A"/>
    <w:rsid w:val="00517034"/>
    <w:rsid w:val="005175F0"/>
    <w:rsid w:val="005177E9"/>
    <w:rsid w:val="00517978"/>
    <w:rsid w:val="00517A34"/>
    <w:rsid w:val="005200F3"/>
    <w:rsid w:val="00520429"/>
    <w:rsid w:val="00520519"/>
    <w:rsid w:val="005209F7"/>
    <w:rsid w:val="00521021"/>
    <w:rsid w:val="005216EB"/>
    <w:rsid w:val="00522397"/>
    <w:rsid w:val="005227A0"/>
    <w:rsid w:val="00522848"/>
    <w:rsid w:val="0052288D"/>
    <w:rsid w:val="00522DA7"/>
    <w:rsid w:val="005234A6"/>
    <w:rsid w:val="00523C5A"/>
    <w:rsid w:val="00524450"/>
    <w:rsid w:val="00524D8F"/>
    <w:rsid w:val="00524E7A"/>
    <w:rsid w:val="00525112"/>
    <w:rsid w:val="00525A06"/>
    <w:rsid w:val="00525D0B"/>
    <w:rsid w:val="005263EF"/>
    <w:rsid w:val="00526941"/>
    <w:rsid w:val="005274FC"/>
    <w:rsid w:val="005275F1"/>
    <w:rsid w:val="0052785B"/>
    <w:rsid w:val="00527A1B"/>
    <w:rsid w:val="00527A35"/>
    <w:rsid w:val="00527A82"/>
    <w:rsid w:val="00527DE5"/>
    <w:rsid w:val="00527E1F"/>
    <w:rsid w:val="00527F63"/>
    <w:rsid w:val="005308CF"/>
    <w:rsid w:val="00530948"/>
    <w:rsid w:val="00530DDC"/>
    <w:rsid w:val="00531143"/>
    <w:rsid w:val="005311DB"/>
    <w:rsid w:val="005312BB"/>
    <w:rsid w:val="00531984"/>
    <w:rsid w:val="005319BF"/>
    <w:rsid w:val="00531AC4"/>
    <w:rsid w:val="00531B93"/>
    <w:rsid w:val="00531E37"/>
    <w:rsid w:val="005323B7"/>
    <w:rsid w:val="00533901"/>
    <w:rsid w:val="00533DA9"/>
    <w:rsid w:val="0053416A"/>
    <w:rsid w:val="00534225"/>
    <w:rsid w:val="00534278"/>
    <w:rsid w:val="005349A0"/>
    <w:rsid w:val="00534E40"/>
    <w:rsid w:val="00534F09"/>
    <w:rsid w:val="00535263"/>
    <w:rsid w:val="00535863"/>
    <w:rsid w:val="00535C13"/>
    <w:rsid w:val="00535E8B"/>
    <w:rsid w:val="0053627A"/>
    <w:rsid w:val="0053665A"/>
    <w:rsid w:val="00536811"/>
    <w:rsid w:val="00536AB7"/>
    <w:rsid w:val="00536FE9"/>
    <w:rsid w:val="005375B2"/>
    <w:rsid w:val="00537600"/>
    <w:rsid w:val="00537715"/>
    <w:rsid w:val="00537768"/>
    <w:rsid w:val="00537802"/>
    <w:rsid w:val="005378A5"/>
    <w:rsid w:val="005400A1"/>
    <w:rsid w:val="005405CE"/>
    <w:rsid w:val="0054081E"/>
    <w:rsid w:val="005408DC"/>
    <w:rsid w:val="005409A6"/>
    <w:rsid w:val="00540A15"/>
    <w:rsid w:val="00540BFC"/>
    <w:rsid w:val="00540D15"/>
    <w:rsid w:val="00541982"/>
    <w:rsid w:val="00541992"/>
    <w:rsid w:val="00541C55"/>
    <w:rsid w:val="00541C72"/>
    <w:rsid w:val="00541FAA"/>
    <w:rsid w:val="00542810"/>
    <w:rsid w:val="00542A6A"/>
    <w:rsid w:val="00542B34"/>
    <w:rsid w:val="00543783"/>
    <w:rsid w:val="00543B6B"/>
    <w:rsid w:val="00543D91"/>
    <w:rsid w:val="00543F71"/>
    <w:rsid w:val="00543FF9"/>
    <w:rsid w:val="005453DF"/>
    <w:rsid w:val="0054571A"/>
    <w:rsid w:val="0054577B"/>
    <w:rsid w:val="00545C01"/>
    <w:rsid w:val="00546217"/>
    <w:rsid w:val="00546749"/>
    <w:rsid w:val="0054678D"/>
    <w:rsid w:val="005468D9"/>
    <w:rsid w:val="00546C50"/>
    <w:rsid w:val="00546F4B"/>
    <w:rsid w:val="00547C1D"/>
    <w:rsid w:val="005506A7"/>
    <w:rsid w:val="00550E05"/>
    <w:rsid w:val="00551247"/>
    <w:rsid w:val="00551327"/>
    <w:rsid w:val="005513B8"/>
    <w:rsid w:val="0055140A"/>
    <w:rsid w:val="005519F3"/>
    <w:rsid w:val="00552267"/>
    <w:rsid w:val="00552348"/>
    <w:rsid w:val="005525E2"/>
    <w:rsid w:val="00552A1F"/>
    <w:rsid w:val="00552F5C"/>
    <w:rsid w:val="0055316C"/>
    <w:rsid w:val="00553405"/>
    <w:rsid w:val="005535B8"/>
    <w:rsid w:val="00553C3B"/>
    <w:rsid w:val="00554108"/>
    <w:rsid w:val="00554392"/>
    <w:rsid w:val="00554E09"/>
    <w:rsid w:val="005553C3"/>
    <w:rsid w:val="00555E67"/>
    <w:rsid w:val="00556156"/>
    <w:rsid w:val="005564BA"/>
    <w:rsid w:val="0055652F"/>
    <w:rsid w:val="00556C30"/>
    <w:rsid w:val="00556CC2"/>
    <w:rsid w:val="00557347"/>
    <w:rsid w:val="00557711"/>
    <w:rsid w:val="00557983"/>
    <w:rsid w:val="005579AB"/>
    <w:rsid w:val="005603E8"/>
    <w:rsid w:val="0056067C"/>
    <w:rsid w:val="00560978"/>
    <w:rsid w:val="00560AF8"/>
    <w:rsid w:val="00560EEA"/>
    <w:rsid w:val="00561207"/>
    <w:rsid w:val="005612EB"/>
    <w:rsid w:val="0056198F"/>
    <w:rsid w:val="00561AA1"/>
    <w:rsid w:val="00561BD5"/>
    <w:rsid w:val="00562362"/>
    <w:rsid w:val="005623F8"/>
    <w:rsid w:val="005627E3"/>
    <w:rsid w:val="005628B9"/>
    <w:rsid w:val="00562E6A"/>
    <w:rsid w:val="00562F59"/>
    <w:rsid w:val="00563467"/>
    <w:rsid w:val="00563470"/>
    <w:rsid w:val="0056362E"/>
    <w:rsid w:val="00563A7D"/>
    <w:rsid w:val="00563D79"/>
    <w:rsid w:val="00563F29"/>
    <w:rsid w:val="005649E9"/>
    <w:rsid w:val="00564B8B"/>
    <w:rsid w:val="00565013"/>
    <w:rsid w:val="005655FD"/>
    <w:rsid w:val="0056571C"/>
    <w:rsid w:val="00565A78"/>
    <w:rsid w:val="00565B3B"/>
    <w:rsid w:val="00565D19"/>
    <w:rsid w:val="0056653A"/>
    <w:rsid w:val="00566F99"/>
    <w:rsid w:val="0056731D"/>
    <w:rsid w:val="005675CC"/>
    <w:rsid w:val="005675D3"/>
    <w:rsid w:val="005677CD"/>
    <w:rsid w:val="00567E81"/>
    <w:rsid w:val="005709F0"/>
    <w:rsid w:val="00570AF5"/>
    <w:rsid w:val="00570C6A"/>
    <w:rsid w:val="00571026"/>
    <w:rsid w:val="005714BF"/>
    <w:rsid w:val="005714D5"/>
    <w:rsid w:val="005727F6"/>
    <w:rsid w:val="0057385B"/>
    <w:rsid w:val="00574264"/>
    <w:rsid w:val="005747E6"/>
    <w:rsid w:val="005748D2"/>
    <w:rsid w:val="005751B2"/>
    <w:rsid w:val="0057522B"/>
    <w:rsid w:val="005754BD"/>
    <w:rsid w:val="00575651"/>
    <w:rsid w:val="00575E9B"/>
    <w:rsid w:val="0057676B"/>
    <w:rsid w:val="005773C5"/>
    <w:rsid w:val="005775EB"/>
    <w:rsid w:val="005779BF"/>
    <w:rsid w:val="00577B02"/>
    <w:rsid w:val="00577FCB"/>
    <w:rsid w:val="005801F5"/>
    <w:rsid w:val="0058041E"/>
    <w:rsid w:val="005807F7"/>
    <w:rsid w:val="00580993"/>
    <w:rsid w:val="00580E6F"/>
    <w:rsid w:val="00581939"/>
    <w:rsid w:val="00581A4E"/>
    <w:rsid w:val="00582581"/>
    <w:rsid w:val="00582C6D"/>
    <w:rsid w:val="00582DDB"/>
    <w:rsid w:val="005833CF"/>
    <w:rsid w:val="00583655"/>
    <w:rsid w:val="00583A3A"/>
    <w:rsid w:val="00583C6D"/>
    <w:rsid w:val="00583E2C"/>
    <w:rsid w:val="0058455A"/>
    <w:rsid w:val="00584618"/>
    <w:rsid w:val="00584657"/>
    <w:rsid w:val="00584B8F"/>
    <w:rsid w:val="00584CAE"/>
    <w:rsid w:val="00585001"/>
    <w:rsid w:val="00585293"/>
    <w:rsid w:val="0058555B"/>
    <w:rsid w:val="005860FD"/>
    <w:rsid w:val="005864E8"/>
    <w:rsid w:val="00586E1A"/>
    <w:rsid w:val="00587482"/>
    <w:rsid w:val="00587489"/>
    <w:rsid w:val="005879A0"/>
    <w:rsid w:val="00587A9D"/>
    <w:rsid w:val="00590155"/>
    <w:rsid w:val="00590271"/>
    <w:rsid w:val="00590275"/>
    <w:rsid w:val="005902EF"/>
    <w:rsid w:val="005907E5"/>
    <w:rsid w:val="005909D2"/>
    <w:rsid w:val="00590A1D"/>
    <w:rsid w:val="00590BD6"/>
    <w:rsid w:val="00590E5B"/>
    <w:rsid w:val="00590FF9"/>
    <w:rsid w:val="0059111C"/>
    <w:rsid w:val="005913A1"/>
    <w:rsid w:val="00591598"/>
    <w:rsid w:val="00591ECF"/>
    <w:rsid w:val="00592037"/>
    <w:rsid w:val="0059204C"/>
    <w:rsid w:val="0059245D"/>
    <w:rsid w:val="005924F6"/>
    <w:rsid w:val="005927F2"/>
    <w:rsid w:val="00592EC1"/>
    <w:rsid w:val="005932D0"/>
    <w:rsid w:val="00593531"/>
    <w:rsid w:val="00593556"/>
    <w:rsid w:val="0059374A"/>
    <w:rsid w:val="00593979"/>
    <w:rsid w:val="0059397D"/>
    <w:rsid w:val="00593A51"/>
    <w:rsid w:val="00594B6F"/>
    <w:rsid w:val="00594E9A"/>
    <w:rsid w:val="00594F3D"/>
    <w:rsid w:val="005959A2"/>
    <w:rsid w:val="005968B4"/>
    <w:rsid w:val="00596E8D"/>
    <w:rsid w:val="00596FAF"/>
    <w:rsid w:val="0059746F"/>
    <w:rsid w:val="00597543"/>
    <w:rsid w:val="00597B81"/>
    <w:rsid w:val="00597F29"/>
    <w:rsid w:val="00597F44"/>
    <w:rsid w:val="00597FFE"/>
    <w:rsid w:val="005A0590"/>
    <w:rsid w:val="005A09C6"/>
    <w:rsid w:val="005A0A72"/>
    <w:rsid w:val="005A0CB7"/>
    <w:rsid w:val="005A1073"/>
    <w:rsid w:val="005A1585"/>
    <w:rsid w:val="005A1704"/>
    <w:rsid w:val="005A17A9"/>
    <w:rsid w:val="005A1A97"/>
    <w:rsid w:val="005A1DE2"/>
    <w:rsid w:val="005A21BC"/>
    <w:rsid w:val="005A2581"/>
    <w:rsid w:val="005A26F9"/>
    <w:rsid w:val="005A2D17"/>
    <w:rsid w:val="005A2E0F"/>
    <w:rsid w:val="005A3A6F"/>
    <w:rsid w:val="005A4082"/>
    <w:rsid w:val="005A4774"/>
    <w:rsid w:val="005A495C"/>
    <w:rsid w:val="005A4972"/>
    <w:rsid w:val="005A4EDC"/>
    <w:rsid w:val="005A4FF6"/>
    <w:rsid w:val="005A5146"/>
    <w:rsid w:val="005A5CE7"/>
    <w:rsid w:val="005A6119"/>
    <w:rsid w:val="005A639B"/>
    <w:rsid w:val="005A674E"/>
    <w:rsid w:val="005A6CC4"/>
    <w:rsid w:val="005A749A"/>
    <w:rsid w:val="005A7DF1"/>
    <w:rsid w:val="005A7E34"/>
    <w:rsid w:val="005A7E7E"/>
    <w:rsid w:val="005B0219"/>
    <w:rsid w:val="005B0434"/>
    <w:rsid w:val="005B1492"/>
    <w:rsid w:val="005B1687"/>
    <w:rsid w:val="005B186A"/>
    <w:rsid w:val="005B1D9A"/>
    <w:rsid w:val="005B1EB3"/>
    <w:rsid w:val="005B282A"/>
    <w:rsid w:val="005B28FD"/>
    <w:rsid w:val="005B29DC"/>
    <w:rsid w:val="005B29FA"/>
    <w:rsid w:val="005B2C60"/>
    <w:rsid w:val="005B2D1E"/>
    <w:rsid w:val="005B326F"/>
    <w:rsid w:val="005B33E8"/>
    <w:rsid w:val="005B33EC"/>
    <w:rsid w:val="005B3C4D"/>
    <w:rsid w:val="005B3E3C"/>
    <w:rsid w:val="005B3F44"/>
    <w:rsid w:val="005B418D"/>
    <w:rsid w:val="005B4259"/>
    <w:rsid w:val="005B439F"/>
    <w:rsid w:val="005B4BD3"/>
    <w:rsid w:val="005B4FEC"/>
    <w:rsid w:val="005B520E"/>
    <w:rsid w:val="005B59CE"/>
    <w:rsid w:val="005B60F9"/>
    <w:rsid w:val="005B66F4"/>
    <w:rsid w:val="005B6A1B"/>
    <w:rsid w:val="005B726D"/>
    <w:rsid w:val="005B734D"/>
    <w:rsid w:val="005B7790"/>
    <w:rsid w:val="005B79B4"/>
    <w:rsid w:val="005B7C45"/>
    <w:rsid w:val="005C0079"/>
    <w:rsid w:val="005C009D"/>
    <w:rsid w:val="005C02BA"/>
    <w:rsid w:val="005C091D"/>
    <w:rsid w:val="005C0AB6"/>
    <w:rsid w:val="005C0D6E"/>
    <w:rsid w:val="005C119D"/>
    <w:rsid w:val="005C18E0"/>
    <w:rsid w:val="005C18F9"/>
    <w:rsid w:val="005C1A2B"/>
    <w:rsid w:val="005C20A6"/>
    <w:rsid w:val="005C24FD"/>
    <w:rsid w:val="005C25B9"/>
    <w:rsid w:val="005C29DB"/>
    <w:rsid w:val="005C2C0B"/>
    <w:rsid w:val="005C2DA3"/>
    <w:rsid w:val="005C2F2A"/>
    <w:rsid w:val="005C3107"/>
    <w:rsid w:val="005C31D1"/>
    <w:rsid w:val="005C3733"/>
    <w:rsid w:val="005C3A4A"/>
    <w:rsid w:val="005C3A5F"/>
    <w:rsid w:val="005C3F05"/>
    <w:rsid w:val="005C401B"/>
    <w:rsid w:val="005C4294"/>
    <w:rsid w:val="005C4A4E"/>
    <w:rsid w:val="005C5CD4"/>
    <w:rsid w:val="005C6043"/>
    <w:rsid w:val="005C6324"/>
    <w:rsid w:val="005C6966"/>
    <w:rsid w:val="005C6AB7"/>
    <w:rsid w:val="005C70E9"/>
    <w:rsid w:val="005C7294"/>
    <w:rsid w:val="005C73DF"/>
    <w:rsid w:val="005C7A5C"/>
    <w:rsid w:val="005C7ACB"/>
    <w:rsid w:val="005C7B47"/>
    <w:rsid w:val="005C7C65"/>
    <w:rsid w:val="005C7DB7"/>
    <w:rsid w:val="005D048C"/>
    <w:rsid w:val="005D05F6"/>
    <w:rsid w:val="005D08CF"/>
    <w:rsid w:val="005D08FD"/>
    <w:rsid w:val="005D0B22"/>
    <w:rsid w:val="005D0BB6"/>
    <w:rsid w:val="005D0C1C"/>
    <w:rsid w:val="005D0E94"/>
    <w:rsid w:val="005D0EA3"/>
    <w:rsid w:val="005D0F3C"/>
    <w:rsid w:val="005D14BF"/>
    <w:rsid w:val="005D16FD"/>
    <w:rsid w:val="005D1C7A"/>
    <w:rsid w:val="005D1DEB"/>
    <w:rsid w:val="005D1F9A"/>
    <w:rsid w:val="005D23AC"/>
    <w:rsid w:val="005D26E8"/>
    <w:rsid w:val="005D281F"/>
    <w:rsid w:val="005D28D7"/>
    <w:rsid w:val="005D2AE6"/>
    <w:rsid w:val="005D2B6A"/>
    <w:rsid w:val="005D2DC2"/>
    <w:rsid w:val="005D387E"/>
    <w:rsid w:val="005D3B91"/>
    <w:rsid w:val="005D4527"/>
    <w:rsid w:val="005D45CD"/>
    <w:rsid w:val="005D499F"/>
    <w:rsid w:val="005D4A47"/>
    <w:rsid w:val="005D4D7A"/>
    <w:rsid w:val="005D4DCA"/>
    <w:rsid w:val="005D5683"/>
    <w:rsid w:val="005D59C8"/>
    <w:rsid w:val="005D5BAC"/>
    <w:rsid w:val="005D5D35"/>
    <w:rsid w:val="005D5D5F"/>
    <w:rsid w:val="005D65CB"/>
    <w:rsid w:val="005D6924"/>
    <w:rsid w:val="005D6BE6"/>
    <w:rsid w:val="005D77D2"/>
    <w:rsid w:val="005D7DE5"/>
    <w:rsid w:val="005E005A"/>
    <w:rsid w:val="005E0726"/>
    <w:rsid w:val="005E083E"/>
    <w:rsid w:val="005E0BAB"/>
    <w:rsid w:val="005E0ECB"/>
    <w:rsid w:val="005E1683"/>
    <w:rsid w:val="005E1692"/>
    <w:rsid w:val="005E1DF9"/>
    <w:rsid w:val="005E1F60"/>
    <w:rsid w:val="005E2328"/>
    <w:rsid w:val="005E2353"/>
    <w:rsid w:val="005E2568"/>
    <w:rsid w:val="005E2B44"/>
    <w:rsid w:val="005E2C35"/>
    <w:rsid w:val="005E2FF5"/>
    <w:rsid w:val="005E3132"/>
    <w:rsid w:val="005E38A7"/>
    <w:rsid w:val="005E3DEA"/>
    <w:rsid w:val="005E4111"/>
    <w:rsid w:val="005E42B2"/>
    <w:rsid w:val="005E431A"/>
    <w:rsid w:val="005E44BB"/>
    <w:rsid w:val="005E4568"/>
    <w:rsid w:val="005E4627"/>
    <w:rsid w:val="005E4825"/>
    <w:rsid w:val="005E4F11"/>
    <w:rsid w:val="005E5273"/>
    <w:rsid w:val="005E553B"/>
    <w:rsid w:val="005E5BB6"/>
    <w:rsid w:val="005E62DD"/>
    <w:rsid w:val="005E6537"/>
    <w:rsid w:val="005E6627"/>
    <w:rsid w:val="005E6973"/>
    <w:rsid w:val="005E6CEC"/>
    <w:rsid w:val="005E709F"/>
    <w:rsid w:val="005E70BF"/>
    <w:rsid w:val="005E7231"/>
    <w:rsid w:val="005E738B"/>
    <w:rsid w:val="005E7E17"/>
    <w:rsid w:val="005E7FC7"/>
    <w:rsid w:val="005F013C"/>
    <w:rsid w:val="005F01D9"/>
    <w:rsid w:val="005F0329"/>
    <w:rsid w:val="005F05CC"/>
    <w:rsid w:val="005F083F"/>
    <w:rsid w:val="005F0975"/>
    <w:rsid w:val="005F113C"/>
    <w:rsid w:val="005F14E0"/>
    <w:rsid w:val="005F1D73"/>
    <w:rsid w:val="005F1FB2"/>
    <w:rsid w:val="005F20E5"/>
    <w:rsid w:val="005F37BE"/>
    <w:rsid w:val="005F4220"/>
    <w:rsid w:val="005F4285"/>
    <w:rsid w:val="005F5B89"/>
    <w:rsid w:val="005F5E31"/>
    <w:rsid w:val="005F6007"/>
    <w:rsid w:val="005F60F1"/>
    <w:rsid w:val="005F6185"/>
    <w:rsid w:val="005F6197"/>
    <w:rsid w:val="005F63C3"/>
    <w:rsid w:val="005F6A6F"/>
    <w:rsid w:val="005F7AAB"/>
    <w:rsid w:val="005F7B44"/>
    <w:rsid w:val="005F7C4B"/>
    <w:rsid w:val="005F7F2C"/>
    <w:rsid w:val="00600325"/>
    <w:rsid w:val="00601296"/>
    <w:rsid w:val="00602346"/>
    <w:rsid w:val="00602831"/>
    <w:rsid w:val="00602FC7"/>
    <w:rsid w:val="00602FF5"/>
    <w:rsid w:val="00603686"/>
    <w:rsid w:val="00604EB7"/>
    <w:rsid w:val="00605135"/>
    <w:rsid w:val="00605356"/>
    <w:rsid w:val="00605379"/>
    <w:rsid w:val="00605E56"/>
    <w:rsid w:val="00606036"/>
    <w:rsid w:val="00606068"/>
    <w:rsid w:val="00606E14"/>
    <w:rsid w:val="00607041"/>
    <w:rsid w:val="00607A82"/>
    <w:rsid w:val="00607B62"/>
    <w:rsid w:val="00607C9C"/>
    <w:rsid w:val="0061012F"/>
    <w:rsid w:val="00610948"/>
    <w:rsid w:val="00610A0A"/>
    <w:rsid w:val="00610CBA"/>
    <w:rsid w:val="00610F11"/>
    <w:rsid w:val="0061146F"/>
    <w:rsid w:val="00611775"/>
    <w:rsid w:val="006117BE"/>
    <w:rsid w:val="00611ABA"/>
    <w:rsid w:val="00611BC5"/>
    <w:rsid w:val="00612184"/>
    <w:rsid w:val="00612410"/>
    <w:rsid w:val="00612C6C"/>
    <w:rsid w:val="00612FB1"/>
    <w:rsid w:val="0061326A"/>
    <w:rsid w:val="006136ED"/>
    <w:rsid w:val="00613D0F"/>
    <w:rsid w:val="00613FC2"/>
    <w:rsid w:val="006144A0"/>
    <w:rsid w:val="0061470E"/>
    <w:rsid w:val="00614D07"/>
    <w:rsid w:val="00614F88"/>
    <w:rsid w:val="006152B2"/>
    <w:rsid w:val="00616205"/>
    <w:rsid w:val="00616397"/>
    <w:rsid w:val="006163B3"/>
    <w:rsid w:val="00616549"/>
    <w:rsid w:val="00616E9F"/>
    <w:rsid w:val="0061704D"/>
    <w:rsid w:val="00617927"/>
    <w:rsid w:val="00617C33"/>
    <w:rsid w:val="00617D85"/>
    <w:rsid w:val="006203C8"/>
    <w:rsid w:val="00620905"/>
    <w:rsid w:val="00620FDC"/>
    <w:rsid w:val="0062143B"/>
    <w:rsid w:val="006217A8"/>
    <w:rsid w:val="006221C3"/>
    <w:rsid w:val="00622456"/>
    <w:rsid w:val="0062251A"/>
    <w:rsid w:val="006225CF"/>
    <w:rsid w:val="00622732"/>
    <w:rsid w:val="0062398E"/>
    <w:rsid w:val="00623D23"/>
    <w:rsid w:val="006241BB"/>
    <w:rsid w:val="00624516"/>
    <w:rsid w:val="006250BA"/>
    <w:rsid w:val="00625188"/>
    <w:rsid w:val="00625748"/>
    <w:rsid w:val="00625B01"/>
    <w:rsid w:val="006266F7"/>
    <w:rsid w:val="00626735"/>
    <w:rsid w:val="00626759"/>
    <w:rsid w:val="006268B4"/>
    <w:rsid w:val="006274CE"/>
    <w:rsid w:val="006275A1"/>
    <w:rsid w:val="00627C82"/>
    <w:rsid w:val="00627E78"/>
    <w:rsid w:val="00627FA6"/>
    <w:rsid w:val="00630A20"/>
    <w:rsid w:val="00630C10"/>
    <w:rsid w:val="00630C73"/>
    <w:rsid w:val="006316AF"/>
    <w:rsid w:val="0063172E"/>
    <w:rsid w:val="006317FB"/>
    <w:rsid w:val="00631C76"/>
    <w:rsid w:val="006323F7"/>
    <w:rsid w:val="0063350D"/>
    <w:rsid w:val="006335F5"/>
    <w:rsid w:val="00633B38"/>
    <w:rsid w:val="00634209"/>
    <w:rsid w:val="00634489"/>
    <w:rsid w:val="006349CC"/>
    <w:rsid w:val="00634B5F"/>
    <w:rsid w:val="00635077"/>
    <w:rsid w:val="0063586E"/>
    <w:rsid w:val="00635A15"/>
    <w:rsid w:val="00635B65"/>
    <w:rsid w:val="00635CD5"/>
    <w:rsid w:val="00635D3B"/>
    <w:rsid w:val="006367FD"/>
    <w:rsid w:val="00636868"/>
    <w:rsid w:val="00636B5B"/>
    <w:rsid w:val="00636D89"/>
    <w:rsid w:val="00636FD8"/>
    <w:rsid w:val="00640098"/>
    <w:rsid w:val="00640410"/>
    <w:rsid w:val="0064046C"/>
    <w:rsid w:val="00640646"/>
    <w:rsid w:val="006406B7"/>
    <w:rsid w:val="00640B11"/>
    <w:rsid w:val="0064108B"/>
    <w:rsid w:val="00641363"/>
    <w:rsid w:val="00641A70"/>
    <w:rsid w:val="00642013"/>
    <w:rsid w:val="006422ED"/>
    <w:rsid w:val="006427C1"/>
    <w:rsid w:val="00642C70"/>
    <w:rsid w:val="00642D71"/>
    <w:rsid w:val="0064357F"/>
    <w:rsid w:val="00643767"/>
    <w:rsid w:val="00643A3E"/>
    <w:rsid w:val="00643B0D"/>
    <w:rsid w:val="00643BAB"/>
    <w:rsid w:val="00643F3D"/>
    <w:rsid w:val="00643F85"/>
    <w:rsid w:val="0064404B"/>
    <w:rsid w:val="006448D0"/>
    <w:rsid w:val="006448DD"/>
    <w:rsid w:val="00644A47"/>
    <w:rsid w:val="00644C05"/>
    <w:rsid w:val="00644F2D"/>
    <w:rsid w:val="006453C6"/>
    <w:rsid w:val="006457F6"/>
    <w:rsid w:val="00645988"/>
    <w:rsid w:val="00645C84"/>
    <w:rsid w:val="00645ED7"/>
    <w:rsid w:val="00645EE3"/>
    <w:rsid w:val="0064612E"/>
    <w:rsid w:val="00646165"/>
    <w:rsid w:val="0064632F"/>
    <w:rsid w:val="006464DA"/>
    <w:rsid w:val="00646935"/>
    <w:rsid w:val="006469A2"/>
    <w:rsid w:val="00647093"/>
    <w:rsid w:val="00647413"/>
    <w:rsid w:val="00647560"/>
    <w:rsid w:val="00647754"/>
    <w:rsid w:val="0065045A"/>
    <w:rsid w:val="00650532"/>
    <w:rsid w:val="00650787"/>
    <w:rsid w:val="00650EC6"/>
    <w:rsid w:val="00651362"/>
    <w:rsid w:val="006513C4"/>
    <w:rsid w:val="0065162D"/>
    <w:rsid w:val="00651C70"/>
    <w:rsid w:val="00651E05"/>
    <w:rsid w:val="00652282"/>
    <w:rsid w:val="006534A0"/>
    <w:rsid w:val="00653516"/>
    <w:rsid w:val="00653605"/>
    <w:rsid w:val="00654144"/>
    <w:rsid w:val="00654303"/>
    <w:rsid w:val="0065461E"/>
    <w:rsid w:val="00654F2F"/>
    <w:rsid w:val="0065525B"/>
    <w:rsid w:val="00655270"/>
    <w:rsid w:val="0065532C"/>
    <w:rsid w:val="0065535C"/>
    <w:rsid w:val="00655F2B"/>
    <w:rsid w:val="006565D9"/>
    <w:rsid w:val="006567A4"/>
    <w:rsid w:val="00656C46"/>
    <w:rsid w:val="00656DB2"/>
    <w:rsid w:val="00656E92"/>
    <w:rsid w:val="0065754B"/>
    <w:rsid w:val="00657800"/>
    <w:rsid w:val="006578E8"/>
    <w:rsid w:val="00657EB4"/>
    <w:rsid w:val="00657FAF"/>
    <w:rsid w:val="0066089B"/>
    <w:rsid w:val="00660981"/>
    <w:rsid w:val="00660AF9"/>
    <w:rsid w:val="00660B2B"/>
    <w:rsid w:val="006613C5"/>
    <w:rsid w:val="00661F83"/>
    <w:rsid w:val="006640E4"/>
    <w:rsid w:val="006641A8"/>
    <w:rsid w:val="00664341"/>
    <w:rsid w:val="00664498"/>
    <w:rsid w:val="00664A12"/>
    <w:rsid w:val="006653EE"/>
    <w:rsid w:val="006654BF"/>
    <w:rsid w:val="0066608A"/>
    <w:rsid w:val="00666998"/>
    <w:rsid w:val="0066706E"/>
    <w:rsid w:val="00667357"/>
    <w:rsid w:val="006674BF"/>
    <w:rsid w:val="00667E3E"/>
    <w:rsid w:val="0067060A"/>
    <w:rsid w:val="00670F35"/>
    <w:rsid w:val="00671535"/>
    <w:rsid w:val="0067170C"/>
    <w:rsid w:val="0067188D"/>
    <w:rsid w:val="00671D63"/>
    <w:rsid w:val="00672090"/>
    <w:rsid w:val="006720CE"/>
    <w:rsid w:val="00672457"/>
    <w:rsid w:val="006728C3"/>
    <w:rsid w:val="00672989"/>
    <w:rsid w:val="00672C4D"/>
    <w:rsid w:val="00672E74"/>
    <w:rsid w:val="0067332D"/>
    <w:rsid w:val="00673452"/>
    <w:rsid w:val="00673488"/>
    <w:rsid w:val="00673C7B"/>
    <w:rsid w:val="00673D4B"/>
    <w:rsid w:val="00674124"/>
    <w:rsid w:val="00674847"/>
    <w:rsid w:val="00674960"/>
    <w:rsid w:val="00674C98"/>
    <w:rsid w:val="00674EC4"/>
    <w:rsid w:val="006750F5"/>
    <w:rsid w:val="006751EA"/>
    <w:rsid w:val="00675815"/>
    <w:rsid w:val="00675D1C"/>
    <w:rsid w:val="00675EDF"/>
    <w:rsid w:val="00676840"/>
    <w:rsid w:val="00676D65"/>
    <w:rsid w:val="0067737F"/>
    <w:rsid w:val="006773B8"/>
    <w:rsid w:val="00677C15"/>
    <w:rsid w:val="006806E8"/>
    <w:rsid w:val="00680904"/>
    <w:rsid w:val="00680DDE"/>
    <w:rsid w:val="0068119B"/>
    <w:rsid w:val="006811C4"/>
    <w:rsid w:val="006817EC"/>
    <w:rsid w:val="006818B8"/>
    <w:rsid w:val="00681A0C"/>
    <w:rsid w:val="00681CE9"/>
    <w:rsid w:val="00681E20"/>
    <w:rsid w:val="00682E57"/>
    <w:rsid w:val="00683219"/>
    <w:rsid w:val="00683407"/>
    <w:rsid w:val="0068378E"/>
    <w:rsid w:val="006837CF"/>
    <w:rsid w:val="00683B03"/>
    <w:rsid w:val="00683B76"/>
    <w:rsid w:val="00683F97"/>
    <w:rsid w:val="00684156"/>
    <w:rsid w:val="00684AAB"/>
    <w:rsid w:val="00684CE3"/>
    <w:rsid w:val="00685846"/>
    <w:rsid w:val="00685972"/>
    <w:rsid w:val="0068616F"/>
    <w:rsid w:val="006861DA"/>
    <w:rsid w:val="006862D5"/>
    <w:rsid w:val="00686513"/>
    <w:rsid w:val="00686CEE"/>
    <w:rsid w:val="0068726F"/>
    <w:rsid w:val="00687545"/>
    <w:rsid w:val="006903F8"/>
    <w:rsid w:val="0069051E"/>
    <w:rsid w:val="00690B2A"/>
    <w:rsid w:val="00690FE7"/>
    <w:rsid w:val="0069111E"/>
    <w:rsid w:val="006911B0"/>
    <w:rsid w:val="006915EE"/>
    <w:rsid w:val="0069180C"/>
    <w:rsid w:val="006924F1"/>
    <w:rsid w:val="006927C6"/>
    <w:rsid w:val="006928AE"/>
    <w:rsid w:val="00692C98"/>
    <w:rsid w:val="00693323"/>
    <w:rsid w:val="00693C9D"/>
    <w:rsid w:val="00693F02"/>
    <w:rsid w:val="00694171"/>
    <w:rsid w:val="006941CD"/>
    <w:rsid w:val="00694AD6"/>
    <w:rsid w:val="00694BDB"/>
    <w:rsid w:val="00694C38"/>
    <w:rsid w:val="00694C82"/>
    <w:rsid w:val="00695235"/>
    <w:rsid w:val="0069524F"/>
    <w:rsid w:val="00695BBE"/>
    <w:rsid w:val="006960A4"/>
    <w:rsid w:val="006962F8"/>
    <w:rsid w:val="0069666A"/>
    <w:rsid w:val="00696749"/>
    <w:rsid w:val="00696C2C"/>
    <w:rsid w:val="0069709D"/>
    <w:rsid w:val="006974A4"/>
    <w:rsid w:val="0069779B"/>
    <w:rsid w:val="00697E25"/>
    <w:rsid w:val="00697E69"/>
    <w:rsid w:val="006A01D9"/>
    <w:rsid w:val="006A0766"/>
    <w:rsid w:val="006A10FF"/>
    <w:rsid w:val="006A12B7"/>
    <w:rsid w:val="006A15E6"/>
    <w:rsid w:val="006A16D7"/>
    <w:rsid w:val="006A17F5"/>
    <w:rsid w:val="006A1FC9"/>
    <w:rsid w:val="006A242B"/>
    <w:rsid w:val="006A244E"/>
    <w:rsid w:val="006A2590"/>
    <w:rsid w:val="006A2786"/>
    <w:rsid w:val="006A2A6F"/>
    <w:rsid w:val="006A2B86"/>
    <w:rsid w:val="006A3AEA"/>
    <w:rsid w:val="006A44B1"/>
    <w:rsid w:val="006A44F2"/>
    <w:rsid w:val="006A4792"/>
    <w:rsid w:val="006A4915"/>
    <w:rsid w:val="006A4D6F"/>
    <w:rsid w:val="006A4EC7"/>
    <w:rsid w:val="006A5C95"/>
    <w:rsid w:val="006A6A9A"/>
    <w:rsid w:val="006A6FBD"/>
    <w:rsid w:val="006A756C"/>
    <w:rsid w:val="006A77DB"/>
    <w:rsid w:val="006B0130"/>
    <w:rsid w:val="006B0272"/>
    <w:rsid w:val="006B02E6"/>
    <w:rsid w:val="006B054A"/>
    <w:rsid w:val="006B0589"/>
    <w:rsid w:val="006B093D"/>
    <w:rsid w:val="006B0AEC"/>
    <w:rsid w:val="006B0CE9"/>
    <w:rsid w:val="006B1216"/>
    <w:rsid w:val="006B126C"/>
    <w:rsid w:val="006B1979"/>
    <w:rsid w:val="006B19BC"/>
    <w:rsid w:val="006B2A57"/>
    <w:rsid w:val="006B3DE5"/>
    <w:rsid w:val="006B4056"/>
    <w:rsid w:val="006B40CE"/>
    <w:rsid w:val="006B4685"/>
    <w:rsid w:val="006B479D"/>
    <w:rsid w:val="006B4EC5"/>
    <w:rsid w:val="006B529C"/>
    <w:rsid w:val="006B57D3"/>
    <w:rsid w:val="006B57ED"/>
    <w:rsid w:val="006B58E9"/>
    <w:rsid w:val="006B58F8"/>
    <w:rsid w:val="006B5A32"/>
    <w:rsid w:val="006B6740"/>
    <w:rsid w:val="006B6AE4"/>
    <w:rsid w:val="006B6D8E"/>
    <w:rsid w:val="006B75D1"/>
    <w:rsid w:val="006B7619"/>
    <w:rsid w:val="006B7AEF"/>
    <w:rsid w:val="006B7AF1"/>
    <w:rsid w:val="006B7CA9"/>
    <w:rsid w:val="006B7D95"/>
    <w:rsid w:val="006B7FD3"/>
    <w:rsid w:val="006C01D3"/>
    <w:rsid w:val="006C0CCB"/>
    <w:rsid w:val="006C0E75"/>
    <w:rsid w:val="006C17A3"/>
    <w:rsid w:val="006C18D6"/>
    <w:rsid w:val="006C18F9"/>
    <w:rsid w:val="006C190C"/>
    <w:rsid w:val="006C1D93"/>
    <w:rsid w:val="006C1F32"/>
    <w:rsid w:val="006C2582"/>
    <w:rsid w:val="006C2959"/>
    <w:rsid w:val="006C3107"/>
    <w:rsid w:val="006C3505"/>
    <w:rsid w:val="006C3B3A"/>
    <w:rsid w:val="006C3F9F"/>
    <w:rsid w:val="006C4098"/>
    <w:rsid w:val="006C4788"/>
    <w:rsid w:val="006C4E59"/>
    <w:rsid w:val="006C583F"/>
    <w:rsid w:val="006C5CFA"/>
    <w:rsid w:val="006C6008"/>
    <w:rsid w:val="006C63C3"/>
    <w:rsid w:val="006C64D3"/>
    <w:rsid w:val="006C666A"/>
    <w:rsid w:val="006C6D0E"/>
    <w:rsid w:val="006C72FE"/>
    <w:rsid w:val="006C741D"/>
    <w:rsid w:val="006C798E"/>
    <w:rsid w:val="006C79FE"/>
    <w:rsid w:val="006C7A65"/>
    <w:rsid w:val="006D05F9"/>
    <w:rsid w:val="006D088D"/>
    <w:rsid w:val="006D0F0D"/>
    <w:rsid w:val="006D1193"/>
    <w:rsid w:val="006D11F2"/>
    <w:rsid w:val="006D124D"/>
    <w:rsid w:val="006D138C"/>
    <w:rsid w:val="006D140E"/>
    <w:rsid w:val="006D1533"/>
    <w:rsid w:val="006D18D3"/>
    <w:rsid w:val="006D1D08"/>
    <w:rsid w:val="006D1D4E"/>
    <w:rsid w:val="006D20D6"/>
    <w:rsid w:val="006D210E"/>
    <w:rsid w:val="006D2163"/>
    <w:rsid w:val="006D29FB"/>
    <w:rsid w:val="006D36AE"/>
    <w:rsid w:val="006D3B6B"/>
    <w:rsid w:val="006D40F3"/>
    <w:rsid w:val="006D426A"/>
    <w:rsid w:val="006D49B2"/>
    <w:rsid w:val="006D4CB2"/>
    <w:rsid w:val="006D5506"/>
    <w:rsid w:val="006D5AC3"/>
    <w:rsid w:val="006D5B44"/>
    <w:rsid w:val="006D5E53"/>
    <w:rsid w:val="006D5F8E"/>
    <w:rsid w:val="006D60F1"/>
    <w:rsid w:val="006D6A3A"/>
    <w:rsid w:val="006D6D2E"/>
    <w:rsid w:val="006D73F8"/>
    <w:rsid w:val="006D7460"/>
    <w:rsid w:val="006E009C"/>
    <w:rsid w:val="006E0B31"/>
    <w:rsid w:val="006E0C01"/>
    <w:rsid w:val="006E0DA8"/>
    <w:rsid w:val="006E10A3"/>
    <w:rsid w:val="006E11E7"/>
    <w:rsid w:val="006E13E3"/>
    <w:rsid w:val="006E1CFB"/>
    <w:rsid w:val="006E22E8"/>
    <w:rsid w:val="006E2BA1"/>
    <w:rsid w:val="006E2D26"/>
    <w:rsid w:val="006E2E79"/>
    <w:rsid w:val="006E36EE"/>
    <w:rsid w:val="006E3D77"/>
    <w:rsid w:val="006E3E6E"/>
    <w:rsid w:val="006E43C3"/>
    <w:rsid w:val="006E47DB"/>
    <w:rsid w:val="006E4C5D"/>
    <w:rsid w:val="006E4CD3"/>
    <w:rsid w:val="006E529C"/>
    <w:rsid w:val="006E53B6"/>
    <w:rsid w:val="006E56AF"/>
    <w:rsid w:val="006E5DF3"/>
    <w:rsid w:val="006E5E28"/>
    <w:rsid w:val="006E6683"/>
    <w:rsid w:val="006E67E4"/>
    <w:rsid w:val="006E7087"/>
    <w:rsid w:val="006E7149"/>
    <w:rsid w:val="006E7685"/>
    <w:rsid w:val="006E79BA"/>
    <w:rsid w:val="006E7F04"/>
    <w:rsid w:val="006F0334"/>
    <w:rsid w:val="006F0409"/>
    <w:rsid w:val="006F1325"/>
    <w:rsid w:val="006F185A"/>
    <w:rsid w:val="006F1903"/>
    <w:rsid w:val="006F1AE6"/>
    <w:rsid w:val="006F1CBA"/>
    <w:rsid w:val="006F1FCF"/>
    <w:rsid w:val="006F21F9"/>
    <w:rsid w:val="006F2A05"/>
    <w:rsid w:val="006F2A82"/>
    <w:rsid w:val="006F2B42"/>
    <w:rsid w:val="006F3205"/>
    <w:rsid w:val="006F3624"/>
    <w:rsid w:val="006F37DA"/>
    <w:rsid w:val="006F39E3"/>
    <w:rsid w:val="006F3B20"/>
    <w:rsid w:val="006F3CBE"/>
    <w:rsid w:val="006F3FC6"/>
    <w:rsid w:val="006F402C"/>
    <w:rsid w:val="006F4240"/>
    <w:rsid w:val="006F4526"/>
    <w:rsid w:val="006F45EF"/>
    <w:rsid w:val="006F47F2"/>
    <w:rsid w:val="006F4DCE"/>
    <w:rsid w:val="006F550B"/>
    <w:rsid w:val="006F5577"/>
    <w:rsid w:val="006F55BE"/>
    <w:rsid w:val="006F5633"/>
    <w:rsid w:val="006F6401"/>
    <w:rsid w:val="006F68CD"/>
    <w:rsid w:val="006F6AAC"/>
    <w:rsid w:val="006F6C54"/>
    <w:rsid w:val="006F6EA7"/>
    <w:rsid w:val="006F6EAD"/>
    <w:rsid w:val="006F7F14"/>
    <w:rsid w:val="0070058F"/>
    <w:rsid w:val="00700811"/>
    <w:rsid w:val="0070099B"/>
    <w:rsid w:val="00700BEA"/>
    <w:rsid w:val="00700CDE"/>
    <w:rsid w:val="007012B9"/>
    <w:rsid w:val="00701582"/>
    <w:rsid w:val="0070180D"/>
    <w:rsid w:val="0070187F"/>
    <w:rsid w:val="00702283"/>
    <w:rsid w:val="00702284"/>
    <w:rsid w:val="007023F4"/>
    <w:rsid w:val="00702CAA"/>
    <w:rsid w:val="00702D79"/>
    <w:rsid w:val="0070303D"/>
    <w:rsid w:val="007036C7"/>
    <w:rsid w:val="00703D48"/>
    <w:rsid w:val="00703E68"/>
    <w:rsid w:val="00703FDD"/>
    <w:rsid w:val="00704042"/>
    <w:rsid w:val="00704142"/>
    <w:rsid w:val="0070436D"/>
    <w:rsid w:val="0070489A"/>
    <w:rsid w:val="00704C84"/>
    <w:rsid w:val="007051CD"/>
    <w:rsid w:val="00705466"/>
    <w:rsid w:val="00705654"/>
    <w:rsid w:val="007057AA"/>
    <w:rsid w:val="00705969"/>
    <w:rsid w:val="00705C4D"/>
    <w:rsid w:val="007065FD"/>
    <w:rsid w:val="00706724"/>
    <w:rsid w:val="00706C2A"/>
    <w:rsid w:val="00707021"/>
    <w:rsid w:val="0070702E"/>
    <w:rsid w:val="007071F8"/>
    <w:rsid w:val="00707B73"/>
    <w:rsid w:val="00707B76"/>
    <w:rsid w:val="00707DF8"/>
    <w:rsid w:val="00707F1C"/>
    <w:rsid w:val="00710086"/>
    <w:rsid w:val="00710272"/>
    <w:rsid w:val="00710593"/>
    <w:rsid w:val="0071084F"/>
    <w:rsid w:val="00710B9D"/>
    <w:rsid w:val="00711067"/>
    <w:rsid w:val="00712264"/>
    <w:rsid w:val="007122ED"/>
    <w:rsid w:val="00712421"/>
    <w:rsid w:val="00712D30"/>
    <w:rsid w:val="00713545"/>
    <w:rsid w:val="007138E9"/>
    <w:rsid w:val="00714167"/>
    <w:rsid w:val="00715392"/>
    <w:rsid w:val="007157AA"/>
    <w:rsid w:val="007157BA"/>
    <w:rsid w:val="007158E3"/>
    <w:rsid w:val="00715CEF"/>
    <w:rsid w:val="00715DA4"/>
    <w:rsid w:val="007160D4"/>
    <w:rsid w:val="00716432"/>
    <w:rsid w:val="007168C7"/>
    <w:rsid w:val="007168E7"/>
    <w:rsid w:val="00716A6E"/>
    <w:rsid w:val="00716CCA"/>
    <w:rsid w:val="00716FC4"/>
    <w:rsid w:val="00717428"/>
    <w:rsid w:val="0072034A"/>
    <w:rsid w:val="0072036E"/>
    <w:rsid w:val="0072038E"/>
    <w:rsid w:val="00720BFE"/>
    <w:rsid w:val="00720EEB"/>
    <w:rsid w:val="00720F12"/>
    <w:rsid w:val="00721275"/>
    <w:rsid w:val="007213A7"/>
    <w:rsid w:val="00721A0E"/>
    <w:rsid w:val="00721D0B"/>
    <w:rsid w:val="00721DFA"/>
    <w:rsid w:val="00721EFA"/>
    <w:rsid w:val="00722010"/>
    <w:rsid w:val="0072210E"/>
    <w:rsid w:val="0072232C"/>
    <w:rsid w:val="00722E2F"/>
    <w:rsid w:val="007232AE"/>
    <w:rsid w:val="007232B8"/>
    <w:rsid w:val="00723679"/>
    <w:rsid w:val="00723C61"/>
    <w:rsid w:val="00723D00"/>
    <w:rsid w:val="00723D1A"/>
    <w:rsid w:val="007241AD"/>
    <w:rsid w:val="00724632"/>
    <w:rsid w:val="007247CD"/>
    <w:rsid w:val="0072499A"/>
    <w:rsid w:val="007250C6"/>
    <w:rsid w:val="0072581C"/>
    <w:rsid w:val="00725CD9"/>
    <w:rsid w:val="0072659D"/>
    <w:rsid w:val="00726C58"/>
    <w:rsid w:val="00726DFF"/>
    <w:rsid w:val="007274FB"/>
    <w:rsid w:val="00727678"/>
    <w:rsid w:val="007276AF"/>
    <w:rsid w:val="00727933"/>
    <w:rsid w:val="00727A68"/>
    <w:rsid w:val="00727D11"/>
    <w:rsid w:val="00730012"/>
    <w:rsid w:val="007303BF"/>
    <w:rsid w:val="00730488"/>
    <w:rsid w:val="00730B66"/>
    <w:rsid w:val="00730F6A"/>
    <w:rsid w:val="00731C42"/>
    <w:rsid w:val="00731FAC"/>
    <w:rsid w:val="00732116"/>
    <w:rsid w:val="00732678"/>
    <w:rsid w:val="0073273D"/>
    <w:rsid w:val="00732B29"/>
    <w:rsid w:val="00733122"/>
    <w:rsid w:val="0073315F"/>
    <w:rsid w:val="00733850"/>
    <w:rsid w:val="00733863"/>
    <w:rsid w:val="0073412A"/>
    <w:rsid w:val="007344BF"/>
    <w:rsid w:val="00734823"/>
    <w:rsid w:val="00734BAC"/>
    <w:rsid w:val="00734DA7"/>
    <w:rsid w:val="00734ED9"/>
    <w:rsid w:val="00734EFC"/>
    <w:rsid w:val="0073522E"/>
    <w:rsid w:val="0073531E"/>
    <w:rsid w:val="00735B64"/>
    <w:rsid w:val="00735C85"/>
    <w:rsid w:val="00736002"/>
    <w:rsid w:val="0073647C"/>
    <w:rsid w:val="007366D3"/>
    <w:rsid w:val="00736913"/>
    <w:rsid w:val="00736BD0"/>
    <w:rsid w:val="00737371"/>
    <w:rsid w:val="0073742E"/>
    <w:rsid w:val="00740B88"/>
    <w:rsid w:val="00740C7C"/>
    <w:rsid w:val="00740E92"/>
    <w:rsid w:val="007412D6"/>
    <w:rsid w:val="00741961"/>
    <w:rsid w:val="00741AC2"/>
    <w:rsid w:val="00741B8F"/>
    <w:rsid w:val="00742B04"/>
    <w:rsid w:val="00742BF9"/>
    <w:rsid w:val="00742C2B"/>
    <w:rsid w:val="00743F63"/>
    <w:rsid w:val="0074429D"/>
    <w:rsid w:val="007448E9"/>
    <w:rsid w:val="00744FF0"/>
    <w:rsid w:val="00745139"/>
    <w:rsid w:val="007451C8"/>
    <w:rsid w:val="00745784"/>
    <w:rsid w:val="00745ABD"/>
    <w:rsid w:val="00745BC3"/>
    <w:rsid w:val="00745C42"/>
    <w:rsid w:val="00746004"/>
    <w:rsid w:val="00746DBE"/>
    <w:rsid w:val="00747018"/>
    <w:rsid w:val="007472EE"/>
    <w:rsid w:val="00747AB7"/>
    <w:rsid w:val="00747F3B"/>
    <w:rsid w:val="007505C1"/>
    <w:rsid w:val="00750697"/>
    <w:rsid w:val="007509A4"/>
    <w:rsid w:val="00750AF9"/>
    <w:rsid w:val="00750B15"/>
    <w:rsid w:val="007512FD"/>
    <w:rsid w:val="0075164E"/>
    <w:rsid w:val="00751688"/>
    <w:rsid w:val="0075173D"/>
    <w:rsid w:val="00751BAC"/>
    <w:rsid w:val="00751C20"/>
    <w:rsid w:val="00752020"/>
    <w:rsid w:val="00752256"/>
    <w:rsid w:val="007525AF"/>
    <w:rsid w:val="00752A25"/>
    <w:rsid w:val="007531BA"/>
    <w:rsid w:val="00753939"/>
    <w:rsid w:val="007539CA"/>
    <w:rsid w:val="0075430D"/>
    <w:rsid w:val="00754EC4"/>
    <w:rsid w:val="0075643B"/>
    <w:rsid w:val="00756555"/>
    <w:rsid w:val="00756723"/>
    <w:rsid w:val="00756B96"/>
    <w:rsid w:val="00757261"/>
    <w:rsid w:val="00757627"/>
    <w:rsid w:val="00757845"/>
    <w:rsid w:val="00757BDC"/>
    <w:rsid w:val="00757BE4"/>
    <w:rsid w:val="00757F90"/>
    <w:rsid w:val="0076000E"/>
    <w:rsid w:val="0076049D"/>
    <w:rsid w:val="00760563"/>
    <w:rsid w:val="00760BE2"/>
    <w:rsid w:val="00760BED"/>
    <w:rsid w:val="007612F7"/>
    <w:rsid w:val="00761DC0"/>
    <w:rsid w:val="00761DC5"/>
    <w:rsid w:val="007621CE"/>
    <w:rsid w:val="007621F0"/>
    <w:rsid w:val="00762462"/>
    <w:rsid w:val="00762481"/>
    <w:rsid w:val="00762640"/>
    <w:rsid w:val="00762B6A"/>
    <w:rsid w:val="00762FEC"/>
    <w:rsid w:val="0076332F"/>
    <w:rsid w:val="00763847"/>
    <w:rsid w:val="00763F13"/>
    <w:rsid w:val="0076429F"/>
    <w:rsid w:val="007645DD"/>
    <w:rsid w:val="00765992"/>
    <w:rsid w:val="00765BD5"/>
    <w:rsid w:val="00765DCC"/>
    <w:rsid w:val="00765E38"/>
    <w:rsid w:val="007662D2"/>
    <w:rsid w:val="00766412"/>
    <w:rsid w:val="007666EA"/>
    <w:rsid w:val="007668A1"/>
    <w:rsid w:val="00766DC1"/>
    <w:rsid w:val="00767DC1"/>
    <w:rsid w:val="007700C7"/>
    <w:rsid w:val="00770A62"/>
    <w:rsid w:val="00770FE5"/>
    <w:rsid w:val="00771110"/>
    <w:rsid w:val="00771702"/>
    <w:rsid w:val="00771A7C"/>
    <w:rsid w:val="00772007"/>
    <w:rsid w:val="00772261"/>
    <w:rsid w:val="007727FC"/>
    <w:rsid w:val="0077319B"/>
    <w:rsid w:val="00773361"/>
    <w:rsid w:val="00773514"/>
    <w:rsid w:val="00773E8C"/>
    <w:rsid w:val="00774023"/>
    <w:rsid w:val="00774215"/>
    <w:rsid w:val="007745A5"/>
    <w:rsid w:val="00774D72"/>
    <w:rsid w:val="00774D9E"/>
    <w:rsid w:val="00774E63"/>
    <w:rsid w:val="00774F6C"/>
    <w:rsid w:val="007752D9"/>
    <w:rsid w:val="0077557C"/>
    <w:rsid w:val="00775781"/>
    <w:rsid w:val="00775D3A"/>
    <w:rsid w:val="00776438"/>
    <w:rsid w:val="00776684"/>
    <w:rsid w:val="00776CB4"/>
    <w:rsid w:val="007771F3"/>
    <w:rsid w:val="007774D7"/>
    <w:rsid w:val="00777E1A"/>
    <w:rsid w:val="00780CA5"/>
    <w:rsid w:val="00781144"/>
    <w:rsid w:val="00781534"/>
    <w:rsid w:val="007815C6"/>
    <w:rsid w:val="00781B8B"/>
    <w:rsid w:val="00781E41"/>
    <w:rsid w:val="00781F5F"/>
    <w:rsid w:val="00782360"/>
    <w:rsid w:val="007824FA"/>
    <w:rsid w:val="0078288F"/>
    <w:rsid w:val="007836A5"/>
    <w:rsid w:val="007836F7"/>
    <w:rsid w:val="007837A8"/>
    <w:rsid w:val="007839D7"/>
    <w:rsid w:val="00783B7B"/>
    <w:rsid w:val="00783D66"/>
    <w:rsid w:val="00784434"/>
    <w:rsid w:val="0078494D"/>
    <w:rsid w:val="00784A86"/>
    <w:rsid w:val="00785069"/>
    <w:rsid w:val="0078562A"/>
    <w:rsid w:val="0078610E"/>
    <w:rsid w:val="0078657E"/>
    <w:rsid w:val="00786A9C"/>
    <w:rsid w:val="007874F1"/>
    <w:rsid w:val="00787CB4"/>
    <w:rsid w:val="00787EA6"/>
    <w:rsid w:val="00787EFD"/>
    <w:rsid w:val="00787F7B"/>
    <w:rsid w:val="00790224"/>
    <w:rsid w:val="00790618"/>
    <w:rsid w:val="00790699"/>
    <w:rsid w:val="00790929"/>
    <w:rsid w:val="00790BAA"/>
    <w:rsid w:val="00790E3D"/>
    <w:rsid w:val="00791480"/>
    <w:rsid w:val="00791496"/>
    <w:rsid w:val="007914B2"/>
    <w:rsid w:val="00791FB4"/>
    <w:rsid w:val="00791FB6"/>
    <w:rsid w:val="00791FF7"/>
    <w:rsid w:val="0079264D"/>
    <w:rsid w:val="0079276F"/>
    <w:rsid w:val="00792ACA"/>
    <w:rsid w:val="00792F33"/>
    <w:rsid w:val="007932BD"/>
    <w:rsid w:val="00793379"/>
    <w:rsid w:val="0079382A"/>
    <w:rsid w:val="00793839"/>
    <w:rsid w:val="007939C5"/>
    <w:rsid w:val="00793DCE"/>
    <w:rsid w:val="007942C8"/>
    <w:rsid w:val="007950CF"/>
    <w:rsid w:val="007951DD"/>
    <w:rsid w:val="007955F2"/>
    <w:rsid w:val="007959DB"/>
    <w:rsid w:val="00795E7A"/>
    <w:rsid w:val="00796A31"/>
    <w:rsid w:val="007970FB"/>
    <w:rsid w:val="00797389"/>
    <w:rsid w:val="00797546"/>
    <w:rsid w:val="007976DD"/>
    <w:rsid w:val="007977B3"/>
    <w:rsid w:val="00797EFE"/>
    <w:rsid w:val="007A053F"/>
    <w:rsid w:val="007A0832"/>
    <w:rsid w:val="007A0A0C"/>
    <w:rsid w:val="007A1688"/>
    <w:rsid w:val="007A1A23"/>
    <w:rsid w:val="007A1CE9"/>
    <w:rsid w:val="007A20E8"/>
    <w:rsid w:val="007A2A5D"/>
    <w:rsid w:val="007A3003"/>
    <w:rsid w:val="007A31C3"/>
    <w:rsid w:val="007A3549"/>
    <w:rsid w:val="007A36A4"/>
    <w:rsid w:val="007A3F17"/>
    <w:rsid w:val="007A4169"/>
    <w:rsid w:val="007A4843"/>
    <w:rsid w:val="007A5051"/>
    <w:rsid w:val="007A510E"/>
    <w:rsid w:val="007A53C2"/>
    <w:rsid w:val="007A56C1"/>
    <w:rsid w:val="007A5F2F"/>
    <w:rsid w:val="007A61BD"/>
    <w:rsid w:val="007A64CB"/>
    <w:rsid w:val="007A681A"/>
    <w:rsid w:val="007A6B19"/>
    <w:rsid w:val="007A6BEA"/>
    <w:rsid w:val="007A6D6D"/>
    <w:rsid w:val="007A6F88"/>
    <w:rsid w:val="007A7086"/>
    <w:rsid w:val="007A72EB"/>
    <w:rsid w:val="007A74A0"/>
    <w:rsid w:val="007A78AF"/>
    <w:rsid w:val="007A7BFA"/>
    <w:rsid w:val="007A7D24"/>
    <w:rsid w:val="007A7D6A"/>
    <w:rsid w:val="007A7FE6"/>
    <w:rsid w:val="007B017A"/>
    <w:rsid w:val="007B08E1"/>
    <w:rsid w:val="007B0E41"/>
    <w:rsid w:val="007B1AB6"/>
    <w:rsid w:val="007B1E93"/>
    <w:rsid w:val="007B20C3"/>
    <w:rsid w:val="007B28EA"/>
    <w:rsid w:val="007B2B76"/>
    <w:rsid w:val="007B2CB0"/>
    <w:rsid w:val="007B2EFA"/>
    <w:rsid w:val="007B3160"/>
    <w:rsid w:val="007B3497"/>
    <w:rsid w:val="007B3748"/>
    <w:rsid w:val="007B399C"/>
    <w:rsid w:val="007B3BCA"/>
    <w:rsid w:val="007B4205"/>
    <w:rsid w:val="007B4295"/>
    <w:rsid w:val="007B4AF1"/>
    <w:rsid w:val="007B4CE4"/>
    <w:rsid w:val="007B4FA1"/>
    <w:rsid w:val="007B601B"/>
    <w:rsid w:val="007B656F"/>
    <w:rsid w:val="007B6F4C"/>
    <w:rsid w:val="007B7588"/>
    <w:rsid w:val="007B7893"/>
    <w:rsid w:val="007B7A6E"/>
    <w:rsid w:val="007B7ADD"/>
    <w:rsid w:val="007C0C60"/>
    <w:rsid w:val="007C0D18"/>
    <w:rsid w:val="007C0DD9"/>
    <w:rsid w:val="007C0E2E"/>
    <w:rsid w:val="007C1376"/>
    <w:rsid w:val="007C1C45"/>
    <w:rsid w:val="007C2064"/>
    <w:rsid w:val="007C318A"/>
    <w:rsid w:val="007C3502"/>
    <w:rsid w:val="007C3828"/>
    <w:rsid w:val="007C384B"/>
    <w:rsid w:val="007C3B2A"/>
    <w:rsid w:val="007C3E48"/>
    <w:rsid w:val="007C442D"/>
    <w:rsid w:val="007C460F"/>
    <w:rsid w:val="007C4641"/>
    <w:rsid w:val="007C4A0B"/>
    <w:rsid w:val="007C4D7E"/>
    <w:rsid w:val="007C5564"/>
    <w:rsid w:val="007C5EDB"/>
    <w:rsid w:val="007C6450"/>
    <w:rsid w:val="007C693D"/>
    <w:rsid w:val="007C6AF4"/>
    <w:rsid w:val="007C6E9D"/>
    <w:rsid w:val="007C6F9F"/>
    <w:rsid w:val="007C74A9"/>
    <w:rsid w:val="007C7AC8"/>
    <w:rsid w:val="007C7C1A"/>
    <w:rsid w:val="007C7C51"/>
    <w:rsid w:val="007C7D52"/>
    <w:rsid w:val="007D0048"/>
    <w:rsid w:val="007D00E1"/>
    <w:rsid w:val="007D01C0"/>
    <w:rsid w:val="007D0369"/>
    <w:rsid w:val="007D06B6"/>
    <w:rsid w:val="007D0BD6"/>
    <w:rsid w:val="007D105A"/>
    <w:rsid w:val="007D1666"/>
    <w:rsid w:val="007D1689"/>
    <w:rsid w:val="007D1CC0"/>
    <w:rsid w:val="007D1DF1"/>
    <w:rsid w:val="007D1E62"/>
    <w:rsid w:val="007D1EB8"/>
    <w:rsid w:val="007D2054"/>
    <w:rsid w:val="007D209E"/>
    <w:rsid w:val="007D227A"/>
    <w:rsid w:val="007D240F"/>
    <w:rsid w:val="007D27AA"/>
    <w:rsid w:val="007D2F04"/>
    <w:rsid w:val="007D323A"/>
    <w:rsid w:val="007D369D"/>
    <w:rsid w:val="007D3B48"/>
    <w:rsid w:val="007D3D7F"/>
    <w:rsid w:val="007D40A3"/>
    <w:rsid w:val="007D4392"/>
    <w:rsid w:val="007D4E19"/>
    <w:rsid w:val="007D5633"/>
    <w:rsid w:val="007D5CD8"/>
    <w:rsid w:val="007D659C"/>
    <w:rsid w:val="007D692D"/>
    <w:rsid w:val="007D7324"/>
    <w:rsid w:val="007D79FF"/>
    <w:rsid w:val="007D7B64"/>
    <w:rsid w:val="007E07A7"/>
    <w:rsid w:val="007E139F"/>
    <w:rsid w:val="007E15FA"/>
    <w:rsid w:val="007E16DA"/>
    <w:rsid w:val="007E18F5"/>
    <w:rsid w:val="007E1945"/>
    <w:rsid w:val="007E1E0A"/>
    <w:rsid w:val="007E22D2"/>
    <w:rsid w:val="007E2520"/>
    <w:rsid w:val="007E2CFA"/>
    <w:rsid w:val="007E2E90"/>
    <w:rsid w:val="007E31BD"/>
    <w:rsid w:val="007E334E"/>
    <w:rsid w:val="007E3A27"/>
    <w:rsid w:val="007E3C5A"/>
    <w:rsid w:val="007E44E4"/>
    <w:rsid w:val="007E4CB3"/>
    <w:rsid w:val="007E4F94"/>
    <w:rsid w:val="007E56BC"/>
    <w:rsid w:val="007E57DF"/>
    <w:rsid w:val="007E5F77"/>
    <w:rsid w:val="007E607E"/>
    <w:rsid w:val="007E67EC"/>
    <w:rsid w:val="007E6FE0"/>
    <w:rsid w:val="007E7C15"/>
    <w:rsid w:val="007E7C1C"/>
    <w:rsid w:val="007E7EE2"/>
    <w:rsid w:val="007F0958"/>
    <w:rsid w:val="007F0ACF"/>
    <w:rsid w:val="007F10DF"/>
    <w:rsid w:val="007F1300"/>
    <w:rsid w:val="007F1B92"/>
    <w:rsid w:val="007F20D1"/>
    <w:rsid w:val="007F24C9"/>
    <w:rsid w:val="007F27E8"/>
    <w:rsid w:val="007F2966"/>
    <w:rsid w:val="007F2C6B"/>
    <w:rsid w:val="007F3183"/>
    <w:rsid w:val="007F36AC"/>
    <w:rsid w:val="007F3786"/>
    <w:rsid w:val="007F3CE2"/>
    <w:rsid w:val="007F4E1B"/>
    <w:rsid w:val="007F5E98"/>
    <w:rsid w:val="007F5FD4"/>
    <w:rsid w:val="007F639E"/>
    <w:rsid w:val="007F6871"/>
    <w:rsid w:val="007F6B99"/>
    <w:rsid w:val="007F7063"/>
    <w:rsid w:val="007F70F9"/>
    <w:rsid w:val="007F74B7"/>
    <w:rsid w:val="007F7555"/>
    <w:rsid w:val="007F78B9"/>
    <w:rsid w:val="007F7B38"/>
    <w:rsid w:val="00800BD7"/>
    <w:rsid w:val="00800FC4"/>
    <w:rsid w:val="0080145A"/>
    <w:rsid w:val="0080184E"/>
    <w:rsid w:val="00801B5A"/>
    <w:rsid w:val="00801C9C"/>
    <w:rsid w:val="00801D95"/>
    <w:rsid w:val="0080247A"/>
    <w:rsid w:val="008027C9"/>
    <w:rsid w:val="00802AD1"/>
    <w:rsid w:val="00802FCD"/>
    <w:rsid w:val="008031D6"/>
    <w:rsid w:val="00803AB1"/>
    <w:rsid w:val="00803CDD"/>
    <w:rsid w:val="00803F06"/>
    <w:rsid w:val="00804089"/>
    <w:rsid w:val="008041ED"/>
    <w:rsid w:val="008042A9"/>
    <w:rsid w:val="0080466A"/>
    <w:rsid w:val="00804B2E"/>
    <w:rsid w:val="00804D1B"/>
    <w:rsid w:val="00804FC5"/>
    <w:rsid w:val="008054FD"/>
    <w:rsid w:val="008055E3"/>
    <w:rsid w:val="00805781"/>
    <w:rsid w:val="00805C89"/>
    <w:rsid w:val="00805EA1"/>
    <w:rsid w:val="00806408"/>
    <w:rsid w:val="008065F9"/>
    <w:rsid w:val="0080665A"/>
    <w:rsid w:val="00806A0F"/>
    <w:rsid w:val="00806AFC"/>
    <w:rsid w:val="00806BA8"/>
    <w:rsid w:val="008073F8"/>
    <w:rsid w:val="008076DA"/>
    <w:rsid w:val="00810852"/>
    <w:rsid w:val="008110C5"/>
    <w:rsid w:val="008119AE"/>
    <w:rsid w:val="00811B15"/>
    <w:rsid w:val="00811D67"/>
    <w:rsid w:val="008120CF"/>
    <w:rsid w:val="008123AF"/>
    <w:rsid w:val="008125B2"/>
    <w:rsid w:val="00812786"/>
    <w:rsid w:val="00813006"/>
    <w:rsid w:val="008130FA"/>
    <w:rsid w:val="008131E1"/>
    <w:rsid w:val="008145AA"/>
    <w:rsid w:val="00814974"/>
    <w:rsid w:val="00814E4B"/>
    <w:rsid w:val="00814F39"/>
    <w:rsid w:val="00815CCE"/>
    <w:rsid w:val="00815DEC"/>
    <w:rsid w:val="00815EA7"/>
    <w:rsid w:val="00816911"/>
    <w:rsid w:val="00816B9E"/>
    <w:rsid w:val="00816E75"/>
    <w:rsid w:val="008174C4"/>
    <w:rsid w:val="008177CE"/>
    <w:rsid w:val="00817905"/>
    <w:rsid w:val="00817B39"/>
    <w:rsid w:val="00817DBF"/>
    <w:rsid w:val="008203EB"/>
    <w:rsid w:val="0082052D"/>
    <w:rsid w:val="008207BA"/>
    <w:rsid w:val="008209E2"/>
    <w:rsid w:val="00820B2F"/>
    <w:rsid w:val="00820CD9"/>
    <w:rsid w:val="00820E6F"/>
    <w:rsid w:val="0082122C"/>
    <w:rsid w:val="0082182A"/>
    <w:rsid w:val="00821A71"/>
    <w:rsid w:val="00821E6E"/>
    <w:rsid w:val="0082206B"/>
    <w:rsid w:val="008225B3"/>
    <w:rsid w:val="008225B7"/>
    <w:rsid w:val="008225DD"/>
    <w:rsid w:val="008229F7"/>
    <w:rsid w:val="00822A4B"/>
    <w:rsid w:val="00823F39"/>
    <w:rsid w:val="00823FE6"/>
    <w:rsid w:val="008241DA"/>
    <w:rsid w:val="0082423A"/>
    <w:rsid w:val="008244DE"/>
    <w:rsid w:val="008247A7"/>
    <w:rsid w:val="008252A1"/>
    <w:rsid w:val="00825612"/>
    <w:rsid w:val="008257AA"/>
    <w:rsid w:val="008258B4"/>
    <w:rsid w:val="00825D2E"/>
    <w:rsid w:val="008262A3"/>
    <w:rsid w:val="00826577"/>
    <w:rsid w:val="008271F8"/>
    <w:rsid w:val="00827517"/>
    <w:rsid w:val="0083084D"/>
    <w:rsid w:val="00830AE1"/>
    <w:rsid w:val="00830F19"/>
    <w:rsid w:val="0083107C"/>
    <w:rsid w:val="008311F2"/>
    <w:rsid w:val="00831855"/>
    <w:rsid w:val="00831B3C"/>
    <w:rsid w:val="00831B46"/>
    <w:rsid w:val="00831C08"/>
    <w:rsid w:val="00831C2B"/>
    <w:rsid w:val="00831E0C"/>
    <w:rsid w:val="00831FFA"/>
    <w:rsid w:val="00832147"/>
    <w:rsid w:val="00832256"/>
    <w:rsid w:val="00832460"/>
    <w:rsid w:val="00832DDA"/>
    <w:rsid w:val="00832E66"/>
    <w:rsid w:val="00832E93"/>
    <w:rsid w:val="008330F9"/>
    <w:rsid w:val="0083362A"/>
    <w:rsid w:val="00833C1A"/>
    <w:rsid w:val="00834508"/>
    <w:rsid w:val="0083458E"/>
    <w:rsid w:val="00834965"/>
    <w:rsid w:val="00834C5A"/>
    <w:rsid w:val="00834D3E"/>
    <w:rsid w:val="00835699"/>
    <w:rsid w:val="00835829"/>
    <w:rsid w:val="00836525"/>
    <w:rsid w:val="00837535"/>
    <w:rsid w:val="0084006A"/>
    <w:rsid w:val="00840A48"/>
    <w:rsid w:val="008410E9"/>
    <w:rsid w:val="008414EC"/>
    <w:rsid w:val="008415F1"/>
    <w:rsid w:val="008430DE"/>
    <w:rsid w:val="00843389"/>
    <w:rsid w:val="008433B3"/>
    <w:rsid w:val="008433E0"/>
    <w:rsid w:val="008436E1"/>
    <w:rsid w:val="0084379B"/>
    <w:rsid w:val="00843950"/>
    <w:rsid w:val="00844B5B"/>
    <w:rsid w:val="00844E12"/>
    <w:rsid w:val="00844EA2"/>
    <w:rsid w:val="008455F0"/>
    <w:rsid w:val="00845B9D"/>
    <w:rsid w:val="00846205"/>
    <w:rsid w:val="0084666A"/>
    <w:rsid w:val="00847157"/>
    <w:rsid w:val="008474B8"/>
    <w:rsid w:val="00847E94"/>
    <w:rsid w:val="0085062A"/>
    <w:rsid w:val="008508C5"/>
    <w:rsid w:val="00850E79"/>
    <w:rsid w:val="00850F94"/>
    <w:rsid w:val="0085146A"/>
    <w:rsid w:val="008526C5"/>
    <w:rsid w:val="008528DE"/>
    <w:rsid w:val="0085291D"/>
    <w:rsid w:val="008534AE"/>
    <w:rsid w:val="008536A4"/>
    <w:rsid w:val="00853934"/>
    <w:rsid w:val="00853DAF"/>
    <w:rsid w:val="00853EBB"/>
    <w:rsid w:val="00854236"/>
    <w:rsid w:val="0085460B"/>
    <w:rsid w:val="0085471E"/>
    <w:rsid w:val="00854C65"/>
    <w:rsid w:val="00854F9E"/>
    <w:rsid w:val="008564E9"/>
    <w:rsid w:val="00856615"/>
    <w:rsid w:val="00856772"/>
    <w:rsid w:val="00856A3B"/>
    <w:rsid w:val="008576DB"/>
    <w:rsid w:val="0085779D"/>
    <w:rsid w:val="00857D4B"/>
    <w:rsid w:val="00857E0B"/>
    <w:rsid w:val="00857E62"/>
    <w:rsid w:val="008603C5"/>
    <w:rsid w:val="008604FD"/>
    <w:rsid w:val="008605EC"/>
    <w:rsid w:val="00860B0A"/>
    <w:rsid w:val="0086111B"/>
    <w:rsid w:val="00861BE6"/>
    <w:rsid w:val="008623DF"/>
    <w:rsid w:val="008626D1"/>
    <w:rsid w:val="008629D0"/>
    <w:rsid w:val="00862B37"/>
    <w:rsid w:val="00862D76"/>
    <w:rsid w:val="008636DC"/>
    <w:rsid w:val="00863786"/>
    <w:rsid w:val="00863CEC"/>
    <w:rsid w:val="00864648"/>
    <w:rsid w:val="00864A6D"/>
    <w:rsid w:val="00864B9C"/>
    <w:rsid w:val="00864C00"/>
    <w:rsid w:val="008653C4"/>
    <w:rsid w:val="008658F7"/>
    <w:rsid w:val="008660CB"/>
    <w:rsid w:val="008661EB"/>
    <w:rsid w:val="00866725"/>
    <w:rsid w:val="00866B69"/>
    <w:rsid w:val="00866F79"/>
    <w:rsid w:val="00867138"/>
    <w:rsid w:val="008675AB"/>
    <w:rsid w:val="008675CD"/>
    <w:rsid w:val="0086762D"/>
    <w:rsid w:val="00867853"/>
    <w:rsid w:val="00867B21"/>
    <w:rsid w:val="00867B51"/>
    <w:rsid w:val="00867BE7"/>
    <w:rsid w:val="00870388"/>
    <w:rsid w:val="00870415"/>
    <w:rsid w:val="00870A26"/>
    <w:rsid w:val="00870C67"/>
    <w:rsid w:val="00870DD0"/>
    <w:rsid w:val="00871011"/>
    <w:rsid w:val="008719D1"/>
    <w:rsid w:val="00871BF0"/>
    <w:rsid w:val="0087209E"/>
    <w:rsid w:val="008721B6"/>
    <w:rsid w:val="008722F0"/>
    <w:rsid w:val="0087281C"/>
    <w:rsid w:val="00872D53"/>
    <w:rsid w:val="00872F4F"/>
    <w:rsid w:val="008732A8"/>
    <w:rsid w:val="0087343C"/>
    <w:rsid w:val="00873C62"/>
    <w:rsid w:val="00874078"/>
    <w:rsid w:val="0087409C"/>
    <w:rsid w:val="00874828"/>
    <w:rsid w:val="00874974"/>
    <w:rsid w:val="00874978"/>
    <w:rsid w:val="00875A12"/>
    <w:rsid w:val="00875AF5"/>
    <w:rsid w:val="00875C8E"/>
    <w:rsid w:val="00875DD2"/>
    <w:rsid w:val="00876109"/>
    <w:rsid w:val="0087676B"/>
    <w:rsid w:val="0087694E"/>
    <w:rsid w:val="00876AF0"/>
    <w:rsid w:val="00876FF3"/>
    <w:rsid w:val="00877042"/>
    <w:rsid w:val="008771EF"/>
    <w:rsid w:val="00877814"/>
    <w:rsid w:val="00877A7A"/>
    <w:rsid w:val="00877EFF"/>
    <w:rsid w:val="00877FC2"/>
    <w:rsid w:val="00880288"/>
    <w:rsid w:val="0088030B"/>
    <w:rsid w:val="00880435"/>
    <w:rsid w:val="00880798"/>
    <w:rsid w:val="00880A73"/>
    <w:rsid w:val="00880BA1"/>
    <w:rsid w:val="00880D13"/>
    <w:rsid w:val="00881DB2"/>
    <w:rsid w:val="00882ADE"/>
    <w:rsid w:val="00882EEA"/>
    <w:rsid w:val="00883085"/>
    <w:rsid w:val="008830EC"/>
    <w:rsid w:val="00883BB4"/>
    <w:rsid w:val="00883C1C"/>
    <w:rsid w:val="00883D6B"/>
    <w:rsid w:val="00883DDB"/>
    <w:rsid w:val="0088498A"/>
    <w:rsid w:val="00884D70"/>
    <w:rsid w:val="00885118"/>
    <w:rsid w:val="00885C22"/>
    <w:rsid w:val="0088626B"/>
    <w:rsid w:val="008867C1"/>
    <w:rsid w:val="00886856"/>
    <w:rsid w:val="008868C4"/>
    <w:rsid w:val="00886ACD"/>
    <w:rsid w:val="00886BF8"/>
    <w:rsid w:val="00886D10"/>
    <w:rsid w:val="00886D1F"/>
    <w:rsid w:val="00886EEB"/>
    <w:rsid w:val="00887207"/>
    <w:rsid w:val="008878DA"/>
    <w:rsid w:val="00887A3D"/>
    <w:rsid w:val="00887C66"/>
    <w:rsid w:val="00887E5F"/>
    <w:rsid w:val="008902D6"/>
    <w:rsid w:val="00890A09"/>
    <w:rsid w:val="00890BCB"/>
    <w:rsid w:val="00890CAC"/>
    <w:rsid w:val="00890E6F"/>
    <w:rsid w:val="00890F79"/>
    <w:rsid w:val="00891079"/>
    <w:rsid w:val="008910B6"/>
    <w:rsid w:val="00891411"/>
    <w:rsid w:val="00891DF7"/>
    <w:rsid w:val="00891EE4"/>
    <w:rsid w:val="008930FA"/>
    <w:rsid w:val="008931F3"/>
    <w:rsid w:val="008936AB"/>
    <w:rsid w:val="0089370B"/>
    <w:rsid w:val="008937E5"/>
    <w:rsid w:val="0089382C"/>
    <w:rsid w:val="00893C76"/>
    <w:rsid w:val="00894100"/>
    <w:rsid w:val="00894801"/>
    <w:rsid w:val="00894B23"/>
    <w:rsid w:val="0089571D"/>
    <w:rsid w:val="00895A7B"/>
    <w:rsid w:val="00896115"/>
    <w:rsid w:val="00896E56"/>
    <w:rsid w:val="00896EE1"/>
    <w:rsid w:val="00896F7B"/>
    <w:rsid w:val="0089759E"/>
    <w:rsid w:val="008976FA"/>
    <w:rsid w:val="00897A5D"/>
    <w:rsid w:val="00897EF0"/>
    <w:rsid w:val="008A0183"/>
    <w:rsid w:val="008A0272"/>
    <w:rsid w:val="008A0D5D"/>
    <w:rsid w:val="008A0F69"/>
    <w:rsid w:val="008A1154"/>
    <w:rsid w:val="008A16F2"/>
    <w:rsid w:val="008A1CE0"/>
    <w:rsid w:val="008A2134"/>
    <w:rsid w:val="008A28E0"/>
    <w:rsid w:val="008A2F4B"/>
    <w:rsid w:val="008A3E2E"/>
    <w:rsid w:val="008A408A"/>
    <w:rsid w:val="008A411C"/>
    <w:rsid w:val="008A41BB"/>
    <w:rsid w:val="008A4326"/>
    <w:rsid w:val="008A46DF"/>
    <w:rsid w:val="008A480F"/>
    <w:rsid w:val="008A4C7B"/>
    <w:rsid w:val="008A4D16"/>
    <w:rsid w:val="008A4D69"/>
    <w:rsid w:val="008A5DC5"/>
    <w:rsid w:val="008A63E5"/>
    <w:rsid w:val="008A6727"/>
    <w:rsid w:val="008A6757"/>
    <w:rsid w:val="008A697F"/>
    <w:rsid w:val="008A69DD"/>
    <w:rsid w:val="008A7C3A"/>
    <w:rsid w:val="008B031C"/>
    <w:rsid w:val="008B0528"/>
    <w:rsid w:val="008B05B9"/>
    <w:rsid w:val="008B0F9A"/>
    <w:rsid w:val="008B1050"/>
    <w:rsid w:val="008B1DB7"/>
    <w:rsid w:val="008B2098"/>
    <w:rsid w:val="008B2AC3"/>
    <w:rsid w:val="008B2ADF"/>
    <w:rsid w:val="008B2D3C"/>
    <w:rsid w:val="008B3468"/>
    <w:rsid w:val="008B376C"/>
    <w:rsid w:val="008B39C0"/>
    <w:rsid w:val="008B39F7"/>
    <w:rsid w:val="008B3A58"/>
    <w:rsid w:val="008B3E31"/>
    <w:rsid w:val="008B3E97"/>
    <w:rsid w:val="008B4022"/>
    <w:rsid w:val="008B41B3"/>
    <w:rsid w:val="008B42DC"/>
    <w:rsid w:val="008B4329"/>
    <w:rsid w:val="008B4540"/>
    <w:rsid w:val="008B4637"/>
    <w:rsid w:val="008B4721"/>
    <w:rsid w:val="008B4F03"/>
    <w:rsid w:val="008B50BA"/>
    <w:rsid w:val="008B5DA9"/>
    <w:rsid w:val="008B5ED6"/>
    <w:rsid w:val="008B629A"/>
    <w:rsid w:val="008B65F6"/>
    <w:rsid w:val="008B6B96"/>
    <w:rsid w:val="008B6ED2"/>
    <w:rsid w:val="008B7334"/>
    <w:rsid w:val="008B775A"/>
    <w:rsid w:val="008B77D1"/>
    <w:rsid w:val="008B7ED3"/>
    <w:rsid w:val="008C09BB"/>
    <w:rsid w:val="008C0BD2"/>
    <w:rsid w:val="008C0C68"/>
    <w:rsid w:val="008C1586"/>
    <w:rsid w:val="008C1F4C"/>
    <w:rsid w:val="008C27CE"/>
    <w:rsid w:val="008C2A53"/>
    <w:rsid w:val="008C2DC3"/>
    <w:rsid w:val="008C357E"/>
    <w:rsid w:val="008C39A2"/>
    <w:rsid w:val="008C3A1A"/>
    <w:rsid w:val="008C3AE2"/>
    <w:rsid w:val="008C3E13"/>
    <w:rsid w:val="008C3F86"/>
    <w:rsid w:val="008C40FB"/>
    <w:rsid w:val="008C4C33"/>
    <w:rsid w:val="008C4C81"/>
    <w:rsid w:val="008C4CA9"/>
    <w:rsid w:val="008C4FE0"/>
    <w:rsid w:val="008C52B7"/>
    <w:rsid w:val="008C6236"/>
    <w:rsid w:val="008C655F"/>
    <w:rsid w:val="008C6C63"/>
    <w:rsid w:val="008C6EB6"/>
    <w:rsid w:val="008C76D4"/>
    <w:rsid w:val="008C7F57"/>
    <w:rsid w:val="008D0022"/>
    <w:rsid w:val="008D0576"/>
    <w:rsid w:val="008D0608"/>
    <w:rsid w:val="008D067C"/>
    <w:rsid w:val="008D0E72"/>
    <w:rsid w:val="008D1076"/>
    <w:rsid w:val="008D186A"/>
    <w:rsid w:val="008D1898"/>
    <w:rsid w:val="008D1E26"/>
    <w:rsid w:val="008D2204"/>
    <w:rsid w:val="008D275A"/>
    <w:rsid w:val="008D28DB"/>
    <w:rsid w:val="008D2B8B"/>
    <w:rsid w:val="008D2C23"/>
    <w:rsid w:val="008D352D"/>
    <w:rsid w:val="008D413B"/>
    <w:rsid w:val="008D4B4C"/>
    <w:rsid w:val="008D4C78"/>
    <w:rsid w:val="008D51F0"/>
    <w:rsid w:val="008D5545"/>
    <w:rsid w:val="008D57F7"/>
    <w:rsid w:val="008D5E76"/>
    <w:rsid w:val="008D6E02"/>
    <w:rsid w:val="008D75D5"/>
    <w:rsid w:val="008D769B"/>
    <w:rsid w:val="008D7A39"/>
    <w:rsid w:val="008E010F"/>
    <w:rsid w:val="008E09FB"/>
    <w:rsid w:val="008E0CCB"/>
    <w:rsid w:val="008E0CFD"/>
    <w:rsid w:val="008E0F2C"/>
    <w:rsid w:val="008E1148"/>
    <w:rsid w:val="008E125A"/>
    <w:rsid w:val="008E1354"/>
    <w:rsid w:val="008E1E6A"/>
    <w:rsid w:val="008E2433"/>
    <w:rsid w:val="008E2A3A"/>
    <w:rsid w:val="008E2A88"/>
    <w:rsid w:val="008E2A9B"/>
    <w:rsid w:val="008E3132"/>
    <w:rsid w:val="008E3170"/>
    <w:rsid w:val="008E32C8"/>
    <w:rsid w:val="008E3893"/>
    <w:rsid w:val="008E40E5"/>
    <w:rsid w:val="008E4469"/>
    <w:rsid w:val="008E4C9A"/>
    <w:rsid w:val="008E50C1"/>
    <w:rsid w:val="008E5A94"/>
    <w:rsid w:val="008E5E44"/>
    <w:rsid w:val="008E64B1"/>
    <w:rsid w:val="008E66D5"/>
    <w:rsid w:val="008E6964"/>
    <w:rsid w:val="008E6A5E"/>
    <w:rsid w:val="008E6C45"/>
    <w:rsid w:val="008E7491"/>
    <w:rsid w:val="008E79D6"/>
    <w:rsid w:val="008E7E21"/>
    <w:rsid w:val="008E7EBE"/>
    <w:rsid w:val="008F06A5"/>
    <w:rsid w:val="008F071B"/>
    <w:rsid w:val="008F09FA"/>
    <w:rsid w:val="008F0BD6"/>
    <w:rsid w:val="008F1204"/>
    <w:rsid w:val="008F14D8"/>
    <w:rsid w:val="008F17CA"/>
    <w:rsid w:val="008F183B"/>
    <w:rsid w:val="008F1B19"/>
    <w:rsid w:val="008F2354"/>
    <w:rsid w:val="008F2800"/>
    <w:rsid w:val="008F2C13"/>
    <w:rsid w:val="008F2FE8"/>
    <w:rsid w:val="008F3753"/>
    <w:rsid w:val="008F3976"/>
    <w:rsid w:val="008F3AA6"/>
    <w:rsid w:val="008F3BCD"/>
    <w:rsid w:val="008F3C48"/>
    <w:rsid w:val="008F406B"/>
    <w:rsid w:val="008F458B"/>
    <w:rsid w:val="008F4837"/>
    <w:rsid w:val="008F4BF5"/>
    <w:rsid w:val="008F5595"/>
    <w:rsid w:val="008F5652"/>
    <w:rsid w:val="008F58B0"/>
    <w:rsid w:val="008F5F07"/>
    <w:rsid w:val="008F60ED"/>
    <w:rsid w:val="008F60FA"/>
    <w:rsid w:val="008F618E"/>
    <w:rsid w:val="008F6796"/>
    <w:rsid w:val="008F6E7F"/>
    <w:rsid w:val="008F6F39"/>
    <w:rsid w:val="008F7508"/>
    <w:rsid w:val="008F7525"/>
    <w:rsid w:val="008F7C7F"/>
    <w:rsid w:val="008F7D0B"/>
    <w:rsid w:val="008F7EC5"/>
    <w:rsid w:val="008F7EF3"/>
    <w:rsid w:val="009000C4"/>
    <w:rsid w:val="00900239"/>
    <w:rsid w:val="0090070F"/>
    <w:rsid w:val="00900778"/>
    <w:rsid w:val="009007E7"/>
    <w:rsid w:val="00900A82"/>
    <w:rsid w:val="00900C27"/>
    <w:rsid w:val="00900C28"/>
    <w:rsid w:val="00900F3B"/>
    <w:rsid w:val="009012F7"/>
    <w:rsid w:val="0090163A"/>
    <w:rsid w:val="009017E6"/>
    <w:rsid w:val="00901F70"/>
    <w:rsid w:val="00902820"/>
    <w:rsid w:val="00902B16"/>
    <w:rsid w:val="00902C5B"/>
    <w:rsid w:val="009030B8"/>
    <w:rsid w:val="00903505"/>
    <w:rsid w:val="00904178"/>
    <w:rsid w:val="00904685"/>
    <w:rsid w:val="009046CF"/>
    <w:rsid w:val="00904BA0"/>
    <w:rsid w:val="00904E33"/>
    <w:rsid w:val="00905689"/>
    <w:rsid w:val="00905C33"/>
    <w:rsid w:val="00906363"/>
    <w:rsid w:val="00906933"/>
    <w:rsid w:val="009069CA"/>
    <w:rsid w:val="009069F9"/>
    <w:rsid w:val="00906AEC"/>
    <w:rsid w:val="00906DAF"/>
    <w:rsid w:val="00906DE7"/>
    <w:rsid w:val="00907A61"/>
    <w:rsid w:val="009105BC"/>
    <w:rsid w:val="009106FD"/>
    <w:rsid w:val="009110F2"/>
    <w:rsid w:val="00911998"/>
    <w:rsid w:val="009119D6"/>
    <w:rsid w:val="00911BBD"/>
    <w:rsid w:val="009126EC"/>
    <w:rsid w:val="00912B85"/>
    <w:rsid w:val="00912E39"/>
    <w:rsid w:val="009133DA"/>
    <w:rsid w:val="00913A75"/>
    <w:rsid w:val="00913F3A"/>
    <w:rsid w:val="00914061"/>
    <w:rsid w:val="00914A49"/>
    <w:rsid w:val="00915068"/>
    <w:rsid w:val="00915461"/>
    <w:rsid w:val="0091551E"/>
    <w:rsid w:val="009159AD"/>
    <w:rsid w:val="00915AE8"/>
    <w:rsid w:val="00915F54"/>
    <w:rsid w:val="0091619B"/>
    <w:rsid w:val="00916D01"/>
    <w:rsid w:val="00916D6D"/>
    <w:rsid w:val="00917178"/>
    <w:rsid w:val="0091750F"/>
    <w:rsid w:val="009177A1"/>
    <w:rsid w:val="00917918"/>
    <w:rsid w:val="00917AED"/>
    <w:rsid w:val="009200E5"/>
    <w:rsid w:val="009201F5"/>
    <w:rsid w:val="00920360"/>
    <w:rsid w:val="00920860"/>
    <w:rsid w:val="00920A6A"/>
    <w:rsid w:val="009212C2"/>
    <w:rsid w:val="00921505"/>
    <w:rsid w:val="00921A3B"/>
    <w:rsid w:val="00921B53"/>
    <w:rsid w:val="00921B67"/>
    <w:rsid w:val="00921DA9"/>
    <w:rsid w:val="009222E1"/>
    <w:rsid w:val="00922425"/>
    <w:rsid w:val="00922E72"/>
    <w:rsid w:val="00922F8C"/>
    <w:rsid w:val="0092471C"/>
    <w:rsid w:val="00925309"/>
    <w:rsid w:val="009253BE"/>
    <w:rsid w:val="00925416"/>
    <w:rsid w:val="00926270"/>
    <w:rsid w:val="009267AA"/>
    <w:rsid w:val="00926A9A"/>
    <w:rsid w:val="00926D5F"/>
    <w:rsid w:val="009272CB"/>
    <w:rsid w:val="00927B58"/>
    <w:rsid w:val="00930531"/>
    <w:rsid w:val="00930D74"/>
    <w:rsid w:val="00930DD5"/>
    <w:rsid w:val="00930EF6"/>
    <w:rsid w:val="00930FC3"/>
    <w:rsid w:val="00931553"/>
    <w:rsid w:val="009323CF"/>
    <w:rsid w:val="00932429"/>
    <w:rsid w:val="009329C6"/>
    <w:rsid w:val="00933282"/>
    <w:rsid w:val="00934E02"/>
    <w:rsid w:val="00935040"/>
    <w:rsid w:val="00935398"/>
    <w:rsid w:val="009353F9"/>
    <w:rsid w:val="009354E3"/>
    <w:rsid w:val="00935616"/>
    <w:rsid w:val="00935729"/>
    <w:rsid w:val="00935ECE"/>
    <w:rsid w:val="009364E5"/>
    <w:rsid w:val="0093664A"/>
    <w:rsid w:val="009368B6"/>
    <w:rsid w:val="009368F7"/>
    <w:rsid w:val="0093744B"/>
    <w:rsid w:val="009376D7"/>
    <w:rsid w:val="009377C3"/>
    <w:rsid w:val="009377D0"/>
    <w:rsid w:val="009401D6"/>
    <w:rsid w:val="0094095C"/>
    <w:rsid w:val="009413BB"/>
    <w:rsid w:val="00941C98"/>
    <w:rsid w:val="00942236"/>
    <w:rsid w:val="0094283B"/>
    <w:rsid w:val="009429E4"/>
    <w:rsid w:val="0094315C"/>
    <w:rsid w:val="009432D1"/>
    <w:rsid w:val="00944003"/>
    <w:rsid w:val="009441BF"/>
    <w:rsid w:val="00944795"/>
    <w:rsid w:val="00944BEA"/>
    <w:rsid w:val="00944E62"/>
    <w:rsid w:val="009451B8"/>
    <w:rsid w:val="00945333"/>
    <w:rsid w:val="00945380"/>
    <w:rsid w:val="009453DF"/>
    <w:rsid w:val="00945908"/>
    <w:rsid w:val="0094591E"/>
    <w:rsid w:val="00945A79"/>
    <w:rsid w:val="00945A8B"/>
    <w:rsid w:val="00945BA0"/>
    <w:rsid w:val="00946061"/>
    <w:rsid w:val="009463F1"/>
    <w:rsid w:val="00946514"/>
    <w:rsid w:val="009465D6"/>
    <w:rsid w:val="00946996"/>
    <w:rsid w:val="00946B1F"/>
    <w:rsid w:val="009470D8"/>
    <w:rsid w:val="009472BE"/>
    <w:rsid w:val="0094755C"/>
    <w:rsid w:val="0094789C"/>
    <w:rsid w:val="009478F1"/>
    <w:rsid w:val="0095013B"/>
    <w:rsid w:val="00950863"/>
    <w:rsid w:val="00950AF8"/>
    <w:rsid w:val="00950E3C"/>
    <w:rsid w:val="00951221"/>
    <w:rsid w:val="009519AE"/>
    <w:rsid w:val="00951CE3"/>
    <w:rsid w:val="00952416"/>
    <w:rsid w:val="00952427"/>
    <w:rsid w:val="00953228"/>
    <w:rsid w:val="00953240"/>
    <w:rsid w:val="00953771"/>
    <w:rsid w:val="00953E02"/>
    <w:rsid w:val="0095478E"/>
    <w:rsid w:val="00954E01"/>
    <w:rsid w:val="00954EC4"/>
    <w:rsid w:val="009555B8"/>
    <w:rsid w:val="00955C96"/>
    <w:rsid w:val="0095671E"/>
    <w:rsid w:val="00956BBA"/>
    <w:rsid w:val="00956C07"/>
    <w:rsid w:val="00956C24"/>
    <w:rsid w:val="00956E50"/>
    <w:rsid w:val="00956E6C"/>
    <w:rsid w:val="00957414"/>
    <w:rsid w:val="009575E5"/>
    <w:rsid w:val="00957C37"/>
    <w:rsid w:val="00957FD6"/>
    <w:rsid w:val="00960121"/>
    <w:rsid w:val="00960988"/>
    <w:rsid w:val="00960B77"/>
    <w:rsid w:val="00960CB1"/>
    <w:rsid w:val="00960F14"/>
    <w:rsid w:val="0096133C"/>
    <w:rsid w:val="00961AF4"/>
    <w:rsid w:val="00961B27"/>
    <w:rsid w:val="00961F1C"/>
    <w:rsid w:val="0096210D"/>
    <w:rsid w:val="009624AE"/>
    <w:rsid w:val="00962811"/>
    <w:rsid w:val="00962898"/>
    <w:rsid w:val="009629F7"/>
    <w:rsid w:val="00962AD1"/>
    <w:rsid w:val="00962EEE"/>
    <w:rsid w:val="00962F0A"/>
    <w:rsid w:val="0096380A"/>
    <w:rsid w:val="00963F50"/>
    <w:rsid w:val="00964518"/>
    <w:rsid w:val="0096495B"/>
    <w:rsid w:val="00964B70"/>
    <w:rsid w:val="00964D03"/>
    <w:rsid w:val="00964F1F"/>
    <w:rsid w:val="0096508F"/>
    <w:rsid w:val="009654D3"/>
    <w:rsid w:val="009659AD"/>
    <w:rsid w:val="00965D83"/>
    <w:rsid w:val="00966257"/>
    <w:rsid w:val="00966265"/>
    <w:rsid w:val="00966486"/>
    <w:rsid w:val="0096682A"/>
    <w:rsid w:val="00966941"/>
    <w:rsid w:val="00966B2B"/>
    <w:rsid w:val="00966D14"/>
    <w:rsid w:val="00966FC6"/>
    <w:rsid w:val="0096703E"/>
    <w:rsid w:val="009671A4"/>
    <w:rsid w:val="009673AA"/>
    <w:rsid w:val="00967587"/>
    <w:rsid w:val="00967ACA"/>
    <w:rsid w:val="00967B1D"/>
    <w:rsid w:val="00970356"/>
    <w:rsid w:val="0097073E"/>
    <w:rsid w:val="00970C7E"/>
    <w:rsid w:val="00970EC7"/>
    <w:rsid w:val="00970EFD"/>
    <w:rsid w:val="00971399"/>
    <w:rsid w:val="009720A4"/>
    <w:rsid w:val="00972EA1"/>
    <w:rsid w:val="00972FA7"/>
    <w:rsid w:val="009732C7"/>
    <w:rsid w:val="00973791"/>
    <w:rsid w:val="009737EA"/>
    <w:rsid w:val="00973EBC"/>
    <w:rsid w:val="009740BC"/>
    <w:rsid w:val="009745DC"/>
    <w:rsid w:val="009749C7"/>
    <w:rsid w:val="00974AD6"/>
    <w:rsid w:val="00975703"/>
    <w:rsid w:val="0097570C"/>
    <w:rsid w:val="0097580F"/>
    <w:rsid w:val="009759CA"/>
    <w:rsid w:val="00975F52"/>
    <w:rsid w:val="0097687C"/>
    <w:rsid w:val="00976FB7"/>
    <w:rsid w:val="0097749C"/>
    <w:rsid w:val="0097755E"/>
    <w:rsid w:val="00977598"/>
    <w:rsid w:val="00977865"/>
    <w:rsid w:val="00980083"/>
    <w:rsid w:val="00980D31"/>
    <w:rsid w:val="009815AB"/>
    <w:rsid w:val="009815EA"/>
    <w:rsid w:val="009816E5"/>
    <w:rsid w:val="0098185A"/>
    <w:rsid w:val="00981AC0"/>
    <w:rsid w:val="00981C9B"/>
    <w:rsid w:val="00981EDF"/>
    <w:rsid w:val="00981FAE"/>
    <w:rsid w:val="00982EBF"/>
    <w:rsid w:val="009835A7"/>
    <w:rsid w:val="009835B9"/>
    <w:rsid w:val="00983DD0"/>
    <w:rsid w:val="00983DE7"/>
    <w:rsid w:val="00983F0C"/>
    <w:rsid w:val="00984656"/>
    <w:rsid w:val="009848CA"/>
    <w:rsid w:val="00984F03"/>
    <w:rsid w:val="009850CE"/>
    <w:rsid w:val="009853C4"/>
    <w:rsid w:val="00985723"/>
    <w:rsid w:val="00985AA5"/>
    <w:rsid w:val="00985DE2"/>
    <w:rsid w:val="00986987"/>
    <w:rsid w:val="00987068"/>
    <w:rsid w:val="00987130"/>
    <w:rsid w:val="009871EF"/>
    <w:rsid w:val="009873FF"/>
    <w:rsid w:val="00987D0F"/>
    <w:rsid w:val="00987E0E"/>
    <w:rsid w:val="00987FA9"/>
    <w:rsid w:val="0099017B"/>
    <w:rsid w:val="00990378"/>
    <w:rsid w:val="00990746"/>
    <w:rsid w:val="0099075D"/>
    <w:rsid w:val="00990766"/>
    <w:rsid w:val="00990961"/>
    <w:rsid w:val="00990BD5"/>
    <w:rsid w:val="00990D2E"/>
    <w:rsid w:val="00990D53"/>
    <w:rsid w:val="00991008"/>
    <w:rsid w:val="0099110C"/>
    <w:rsid w:val="00991177"/>
    <w:rsid w:val="00991930"/>
    <w:rsid w:val="00991F68"/>
    <w:rsid w:val="00992061"/>
    <w:rsid w:val="009923B9"/>
    <w:rsid w:val="00992470"/>
    <w:rsid w:val="00992728"/>
    <w:rsid w:val="00992A82"/>
    <w:rsid w:val="00992B93"/>
    <w:rsid w:val="009937C2"/>
    <w:rsid w:val="009944C0"/>
    <w:rsid w:val="0099457E"/>
    <w:rsid w:val="009945DF"/>
    <w:rsid w:val="00994996"/>
    <w:rsid w:val="009951EE"/>
    <w:rsid w:val="00995293"/>
    <w:rsid w:val="009958FF"/>
    <w:rsid w:val="0099598D"/>
    <w:rsid w:val="00995E26"/>
    <w:rsid w:val="00996202"/>
    <w:rsid w:val="00996301"/>
    <w:rsid w:val="0099639E"/>
    <w:rsid w:val="009963E4"/>
    <w:rsid w:val="00996448"/>
    <w:rsid w:val="00996A55"/>
    <w:rsid w:val="00996D2B"/>
    <w:rsid w:val="00997A78"/>
    <w:rsid w:val="009A017E"/>
    <w:rsid w:val="009A052B"/>
    <w:rsid w:val="009A083C"/>
    <w:rsid w:val="009A08B0"/>
    <w:rsid w:val="009A0A2B"/>
    <w:rsid w:val="009A0A39"/>
    <w:rsid w:val="009A0DB3"/>
    <w:rsid w:val="009A0F6B"/>
    <w:rsid w:val="009A11C6"/>
    <w:rsid w:val="009A11F6"/>
    <w:rsid w:val="009A1264"/>
    <w:rsid w:val="009A12F7"/>
    <w:rsid w:val="009A18F1"/>
    <w:rsid w:val="009A1FA8"/>
    <w:rsid w:val="009A23C0"/>
    <w:rsid w:val="009A2A21"/>
    <w:rsid w:val="009A2F15"/>
    <w:rsid w:val="009A34E5"/>
    <w:rsid w:val="009A3961"/>
    <w:rsid w:val="009A3ADE"/>
    <w:rsid w:val="009A3F4C"/>
    <w:rsid w:val="009A414A"/>
    <w:rsid w:val="009A414D"/>
    <w:rsid w:val="009A4180"/>
    <w:rsid w:val="009A42A7"/>
    <w:rsid w:val="009A462A"/>
    <w:rsid w:val="009A490C"/>
    <w:rsid w:val="009A4A31"/>
    <w:rsid w:val="009A4A83"/>
    <w:rsid w:val="009A4BC6"/>
    <w:rsid w:val="009A4C8E"/>
    <w:rsid w:val="009A54C4"/>
    <w:rsid w:val="009A56E0"/>
    <w:rsid w:val="009A5C2C"/>
    <w:rsid w:val="009A5FFF"/>
    <w:rsid w:val="009A6329"/>
    <w:rsid w:val="009A632D"/>
    <w:rsid w:val="009A683B"/>
    <w:rsid w:val="009A713D"/>
    <w:rsid w:val="009A7AF5"/>
    <w:rsid w:val="009A7B7F"/>
    <w:rsid w:val="009B025E"/>
    <w:rsid w:val="009B02AF"/>
    <w:rsid w:val="009B060F"/>
    <w:rsid w:val="009B0673"/>
    <w:rsid w:val="009B0F86"/>
    <w:rsid w:val="009B1175"/>
    <w:rsid w:val="009B23F2"/>
    <w:rsid w:val="009B2870"/>
    <w:rsid w:val="009B352B"/>
    <w:rsid w:val="009B3C2E"/>
    <w:rsid w:val="009B40C0"/>
    <w:rsid w:val="009B47E4"/>
    <w:rsid w:val="009B4F35"/>
    <w:rsid w:val="009B4FE0"/>
    <w:rsid w:val="009B507A"/>
    <w:rsid w:val="009B50FD"/>
    <w:rsid w:val="009B5135"/>
    <w:rsid w:val="009B5755"/>
    <w:rsid w:val="009B616E"/>
    <w:rsid w:val="009B67C4"/>
    <w:rsid w:val="009B687D"/>
    <w:rsid w:val="009B69F7"/>
    <w:rsid w:val="009B6A74"/>
    <w:rsid w:val="009B718B"/>
    <w:rsid w:val="009C0402"/>
    <w:rsid w:val="009C048F"/>
    <w:rsid w:val="009C0B14"/>
    <w:rsid w:val="009C0CB7"/>
    <w:rsid w:val="009C15C0"/>
    <w:rsid w:val="009C294F"/>
    <w:rsid w:val="009C2A2F"/>
    <w:rsid w:val="009C2D50"/>
    <w:rsid w:val="009C2EC2"/>
    <w:rsid w:val="009C306B"/>
    <w:rsid w:val="009C33BD"/>
    <w:rsid w:val="009C3601"/>
    <w:rsid w:val="009C3E67"/>
    <w:rsid w:val="009C421C"/>
    <w:rsid w:val="009C431D"/>
    <w:rsid w:val="009C448D"/>
    <w:rsid w:val="009C480B"/>
    <w:rsid w:val="009C4CDE"/>
    <w:rsid w:val="009C506A"/>
    <w:rsid w:val="009C5079"/>
    <w:rsid w:val="009C5ADE"/>
    <w:rsid w:val="009C5BF3"/>
    <w:rsid w:val="009C6DB9"/>
    <w:rsid w:val="009C7BEE"/>
    <w:rsid w:val="009D00F0"/>
    <w:rsid w:val="009D028E"/>
    <w:rsid w:val="009D07D9"/>
    <w:rsid w:val="009D07F3"/>
    <w:rsid w:val="009D12DB"/>
    <w:rsid w:val="009D1570"/>
    <w:rsid w:val="009D1996"/>
    <w:rsid w:val="009D1D57"/>
    <w:rsid w:val="009D22FF"/>
    <w:rsid w:val="009D36F7"/>
    <w:rsid w:val="009D4304"/>
    <w:rsid w:val="009D430A"/>
    <w:rsid w:val="009D486E"/>
    <w:rsid w:val="009D48B1"/>
    <w:rsid w:val="009D4C4A"/>
    <w:rsid w:val="009D4FAA"/>
    <w:rsid w:val="009D5106"/>
    <w:rsid w:val="009D5532"/>
    <w:rsid w:val="009D6151"/>
    <w:rsid w:val="009D6D0D"/>
    <w:rsid w:val="009D6EDE"/>
    <w:rsid w:val="009D7995"/>
    <w:rsid w:val="009D79C8"/>
    <w:rsid w:val="009D7E6F"/>
    <w:rsid w:val="009E05B7"/>
    <w:rsid w:val="009E0EE4"/>
    <w:rsid w:val="009E1030"/>
    <w:rsid w:val="009E10F4"/>
    <w:rsid w:val="009E1CBF"/>
    <w:rsid w:val="009E1F1A"/>
    <w:rsid w:val="009E2179"/>
    <w:rsid w:val="009E2384"/>
    <w:rsid w:val="009E2395"/>
    <w:rsid w:val="009E25E7"/>
    <w:rsid w:val="009E2867"/>
    <w:rsid w:val="009E28C7"/>
    <w:rsid w:val="009E2A33"/>
    <w:rsid w:val="009E2AEE"/>
    <w:rsid w:val="009E3123"/>
    <w:rsid w:val="009E344C"/>
    <w:rsid w:val="009E3550"/>
    <w:rsid w:val="009E3665"/>
    <w:rsid w:val="009E3CE3"/>
    <w:rsid w:val="009E44C8"/>
    <w:rsid w:val="009E4AA8"/>
    <w:rsid w:val="009E4DC4"/>
    <w:rsid w:val="009E5706"/>
    <w:rsid w:val="009E59E8"/>
    <w:rsid w:val="009E5C4C"/>
    <w:rsid w:val="009E5F7F"/>
    <w:rsid w:val="009E6072"/>
    <w:rsid w:val="009E620D"/>
    <w:rsid w:val="009E6A02"/>
    <w:rsid w:val="009E7766"/>
    <w:rsid w:val="009E7BA0"/>
    <w:rsid w:val="009E7CED"/>
    <w:rsid w:val="009E7D9C"/>
    <w:rsid w:val="009F061C"/>
    <w:rsid w:val="009F07CD"/>
    <w:rsid w:val="009F0A09"/>
    <w:rsid w:val="009F0DA8"/>
    <w:rsid w:val="009F16C6"/>
    <w:rsid w:val="009F1AD6"/>
    <w:rsid w:val="009F1C4E"/>
    <w:rsid w:val="009F1D3B"/>
    <w:rsid w:val="009F2482"/>
    <w:rsid w:val="009F25EC"/>
    <w:rsid w:val="009F2665"/>
    <w:rsid w:val="009F26DB"/>
    <w:rsid w:val="009F399E"/>
    <w:rsid w:val="009F3EC9"/>
    <w:rsid w:val="009F4519"/>
    <w:rsid w:val="009F4AA2"/>
    <w:rsid w:val="009F4D90"/>
    <w:rsid w:val="009F4E3A"/>
    <w:rsid w:val="009F5445"/>
    <w:rsid w:val="009F5F66"/>
    <w:rsid w:val="009F63AD"/>
    <w:rsid w:val="009F65D7"/>
    <w:rsid w:val="009F68B9"/>
    <w:rsid w:val="009F6F99"/>
    <w:rsid w:val="009F770B"/>
    <w:rsid w:val="009F796C"/>
    <w:rsid w:val="009F7CCF"/>
    <w:rsid w:val="009F7F77"/>
    <w:rsid w:val="00A00034"/>
    <w:rsid w:val="00A00402"/>
    <w:rsid w:val="00A00646"/>
    <w:rsid w:val="00A00737"/>
    <w:rsid w:val="00A00785"/>
    <w:rsid w:val="00A00C0F"/>
    <w:rsid w:val="00A00DCF"/>
    <w:rsid w:val="00A00E17"/>
    <w:rsid w:val="00A01137"/>
    <w:rsid w:val="00A0143E"/>
    <w:rsid w:val="00A0147A"/>
    <w:rsid w:val="00A01567"/>
    <w:rsid w:val="00A01CED"/>
    <w:rsid w:val="00A01EEC"/>
    <w:rsid w:val="00A02090"/>
    <w:rsid w:val="00A02311"/>
    <w:rsid w:val="00A02517"/>
    <w:rsid w:val="00A0264F"/>
    <w:rsid w:val="00A02897"/>
    <w:rsid w:val="00A02941"/>
    <w:rsid w:val="00A02F67"/>
    <w:rsid w:val="00A03245"/>
    <w:rsid w:val="00A032EF"/>
    <w:rsid w:val="00A03983"/>
    <w:rsid w:val="00A03C75"/>
    <w:rsid w:val="00A04DA2"/>
    <w:rsid w:val="00A04F92"/>
    <w:rsid w:val="00A05556"/>
    <w:rsid w:val="00A05920"/>
    <w:rsid w:val="00A06007"/>
    <w:rsid w:val="00A06076"/>
    <w:rsid w:val="00A0658C"/>
    <w:rsid w:val="00A068F0"/>
    <w:rsid w:val="00A07229"/>
    <w:rsid w:val="00A07325"/>
    <w:rsid w:val="00A074CF"/>
    <w:rsid w:val="00A07821"/>
    <w:rsid w:val="00A07A71"/>
    <w:rsid w:val="00A07F89"/>
    <w:rsid w:val="00A10181"/>
    <w:rsid w:val="00A10712"/>
    <w:rsid w:val="00A108CA"/>
    <w:rsid w:val="00A10AB6"/>
    <w:rsid w:val="00A11008"/>
    <w:rsid w:val="00A115D1"/>
    <w:rsid w:val="00A1166A"/>
    <w:rsid w:val="00A119D2"/>
    <w:rsid w:val="00A119EF"/>
    <w:rsid w:val="00A1200A"/>
    <w:rsid w:val="00A12173"/>
    <w:rsid w:val="00A12714"/>
    <w:rsid w:val="00A133A7"/>
    <w:rsid w:val="00A134ED"/>
    <w:rsid w:val="00A13821"/>
    <w:rsid w:val="00A13932"/>
    <w:rsid w:val="00A13CCA"/>
    <w:rsid w:val="00A14578"/>
    <w:rsid w:val="00A14751"/>
    <w:rsid w:val="00A1489C"/>
    <w:rsid w:val="00A15693"/>
    <w:rsid w:val="00A159F1"/>
    <w:rsid w:val="00A15F3A"/>
    <w:rsid w:val="00A16192"/>
    <w:rsid w:val="00A16204"/>
    <w:rsid w:val="00A166E2"/>
    <w:rsid w:val="00A16D4D"/>
    <w:rsid w:val="00A172B1"/>
    <w:rsid w:val="00A174EA"/>
    <w:rsid w:val="00A175DB"/>
    <w:rsid w:val="00A1776F"/>
    <w:rsid w:val="00A17ABA"/>
    <w:rsid w:val="00A17E36"/>
    <w:rsid w:val="00A17ED3"/>
    <w:rsid w:val="00A20565"/>
    <w:rsid w:val="00A20999"/>
    <w:rsid w:val="00A20E51"/>
    <w:rsid w:val="00A2166E"/>
    <w:rsid w:val="00A21763"/>
    <w:rsid w:val="00A21C24"/>
    <w:rsid w:val="00A21C59"/>
    <w:rsid w:val="00A21DD5"/>
    <w:rsid w:val="00A21E35"/>
    <w:rsid w:val="00A21EBF"/>
    <w:rsid w:val="00A22602"/>
    <w:rsid w:val="00A22B80"/>
    <w:rsid w:val="00A232DC"/>
    <w:rsid w:val="00A2337C"/>
    <w:rsid w:val="00A234D2"/>
    <w:rsid w:val="00A235CA"/>
    <w:rsid w:val="00A2365D"/>
    <w:rsid w:val="00A23EF5"/>
    <w:rsid w:val="00A2439F"/>
    <w:rsid w:val="00A24422"/>
    <w:rsid w:val="00A248B5"/>
    <w:rsid w:val="00A24C2C"/>
    <w:rsid w:val="00A25E94"/>
    <w:rsid w:val="00A2613D"/>
    <w:rsid w:val="00A26820"/>
    <w:rsid w:val="00A26C21"/>
    <w:rsid w:val="00A27649"/>
    <w:rsid w:val="00A27C5C"/>
    <w:rsid w:val="00A30505"/>
    <w:rsid w:val="00A30531"/>
    <w:rsid w:val="00A305C6"/>
    <w:rsid w:val="00A308D9"/>
    <w:rsid w:val="00A30A44"/>
    <w:rsid w:val="00A31241"/>
    <w:rsid w:val="00A315B3"/>
    <w:rsid w:val="00A321D6"/>
    <w:rsid w:val="00A329E0"/>
    <w:rsid w:val="00A32A4F"/>
    <w:rsid w:val="00A32CD3"/>
    <w:rsid w:val="00A33025"/>
    <w:rsid w:val="00A3309B"/>
    <w:rsid w:val="00A33236"/>
    <w:rsid w:val="00A3359A"/>
    <w:rsid w:val="00A33690"/>
    <w:rsid w:val="00A3370A"/>
    <w:rsid w:val="00A33F66"/>
    <w:rsid w:val="00A34EF9"/>
    <w:rsid w:val="00A34F00"/>
    <w:rsid w:val="00A351A1"/>
    <w:rsid w:val="00A353A4"/>
    <w:rsid w:val="00A355BF"/>
    <w:rsid w:val="00A357D2"/>
    <w:rsid w:val="00A35818"/>
    <w:rsid w:val="00A358E7"/>
    <w:rsid w:val="00A3604D"/>
    <w:rsid w:val="00A362E7"/>
    <w:rsid w:val="00A36D55"/>
    <w:rsid w:val="00A36E99"/>
    <w:rsid w:val="00A37025"/>
    <w:rsid w:val="00A370FC"/>
    <w:rsid w:val="00A37124"/>
    <w:rsid w:val="00A37704"/>
    <w:rsid w:val="00A40164"/>
    <w:rsid w:val="00A409D2"/>
    <w:rsid w:val="00A40A8B"/>
    <w:rsid w:val="00A413A2"/>
    <w:rsid w:val="00A41541"/>
    <w:rsid w:val="00A41A7A"/>
    <w:rsid w:val="00A41EE4"/>
    <w:rsid w:val="00A42209"/>
    <w:rsid w:val="00A42421"/>
    <w:rsid w:val="00A42D80"/>
    <w:rsid w:val="00A42DDC"/>
    <w:rsid w:val="00A42F16"/>
    <w:rsid w:val="00A430C2"/>
    <w:rsid w:val="00A436FE"/>
    <w:rsid w:val="00A44623"/>
    <w:rsid w:val="00A44757"/>
    <w:rsid w:val="00A447EF"/>
    <w:rsid w:val="00A44ABB"/>
    <w:rsid w:val="00A44B1C"/>
    <w:rsid w:val="00A44B82"/>
    <w:rsid w:val="00A44CDD"/>
    <w:rsid w:val="00A44DCB"/>
    <w:rsid w:val="00A44FAB"/>
    <w:rsid w:val="00A45769"/>
    <w:rsid w:val="00A45B78"/>
    <w:rsid w:val="00A45C2F"/>
    <w:rsid w:val="00A45C44"/>
    <w:rsid w:val="00A46C83"/>
    <w:rsid w:val="00A46F69"/>
    <w:rsid w:val="00A4738C"/>
    <w:rsid w:val="00A4739A"/>
    <w:rsid w:val="00A4743F"/>
    <w:rsid w:val="00A47807"/>
    <w:rsid w:val="00A47CBC"/>
    <w:rsid w:val="00A50002"/>
    <w:rsid w:val="00A5008E"/>
    <w:rsid w:val="00A50396"/>
    <w:rsid w:val="00A504D9"/>
    <w:rsid w:val="00A51280"/>
    <w:rsid w:val="00A51317"/>
    <w:rsid w:val="00A513E6"/>
    <w:rsid w:val="00A51BBC"/>
    <w:rsid w:val="00A51BE9"/>
    <w:rsid w:val="00A51F05"/>
    <w:rsid w:val="00A52C94"/>
    <w:rsid w:val="00A532F6"/>
    <w:rsid w:val="00A53A68"/>
    <w:rsid w:val="00A53F43"/>
    <w:rsid w:val="00A542C0"/>
    <w:rsid w:val="00A54775"/>
    <w:rsid w:val="00A54838"/>
    <w:rsid w:val="00A54B12"/>
    <w:rsid w:val="00A54B5D"/>
    <w:rsid w:val="00A553BB"/>
    <w:rsid w:val="00A5548A"/>
    <w:rsid w:val="00A5550F"/>
    <w:rsid w:val="00A556A3"/>
    <w:rsid w:val="00A55754"/>
    <w:rsid w:val="00A55ADC"/>
    <w:rsid w:val="00A5611C"/>
    <w:rsid w:val="00A5680D"/>
    <w:rsid w:val="00A56E30"/>
    <w:rsid w:val="00A56FD7"/>
    <w:rsid w:val="00A5708A"/>
    <w:rsid w:val="00A57481"/>
    <w:rsid w:val="00A574D3"/>
    <w:rsid w:val="00A57649"/>
    <w:rsid w:val="00A5783B"/>
    <w:rsid w:val="00A57C13"/>
    <w:rsid w:val="00A57D6F"/>
    <w:rsid w:val="00A60369"/>
    <w:rsid w:val="00A60AC8"/>
    <w:rsid w:val="00A612E2"/>
    <w:rsid w:val="00A61AB9"/>
    <w:rsid w:val="00A61CAD"/>
    <w:rsid w:val="00A61D50"/>
    <w:rsid w:val="00A61E97"/>
    <w:rsid w:val="00A625EA"/>
    <w:rsid w:val="00A6284A"/>
    <w:rsid w:val="00A62890"/>
    <w:rsid w:val="00A6311B"/>
    <w:rsid w:val="00A63394"/>
    <w:rsid w:val="00A63BB4"/>
    <w:rsid w:val="00A64010"/>
    <w:rsid w:val="00A642B6"/>
    <w:rsid w:val="00A64C28"/>
    <w:rsid w:val="00A652D3"/>
    <w:rsid w:val="00A6536D"/>
    <w:rsid w:val="00A65C31"/>
    <w:rsid w:val="00A65D54"/>
    <w:rsid w:val="00A66181"/>
    <w:rsid w:val="00A6664C"/>
    <w:rsid w:val="00A66BBF"/>
    <w:rsid w:val="00A670EB"/>
    <w:rsid w:val="00A67291"/>
    <w:rsid w:val="00A67656"/>
    <w:rsid w:val="00A679CE"/>
    <w:rsid w:val="00A67A55"/>
    <w:rsid w:val="00A67B3F"/>
    <w:rsid w:val="00A67E55"/>
    <w:rsid w:val="00A70B7D"/>
    <w:rsid w:val="00A70D6C"/>
    <w:rsid w:val="00A70EDA"/>
    <w:rsid w:val="00A71ABA"/>
    <w:rsid w:val="00A71B89"/>
    <w:rsid w:val="00A71B93"/>
    <w:rsid w:val="00A727D7"/>
    <w:rsid w:val="00A72942"/>
    <w:rsid w:val="00A72A8E"/>
    <w:rsid w:val="00A73279"/>
    <w:rsid w:val="00A73576"/>
    <w:rsid w:val="00A737A9"/>
    <w:rsid w:val="00A73AC6"/>
    <w:rsid w:val="00A73BA4"/>
    <w:rsid w:val="00A73F07"/>
    <w:rsid w:val="00A73FF3"/>
    <w:rsid w:val="00A743F9"/>
    <w:rsid w:val="00A7461A"/>
    <w:rsid w:val="00A756AC"/>
    <w:rsid w:val="00A7596C"/>
    <w:rsid w:val="00A75A99"/>
    <w:rsid w:val="00A75CB2"/>
    <w:rsid w:val="00A75E19"/>
    <w:rsid w:val="00A75E66"/>
    <w:rsid w:val="00A760AD"/>
    <w:rsid w:val="00A76A2A"/>
    <w:rsid w:val="00A76CD1"/>
    <w:rsid w:val="00A76D30"/>
    <w:rsid w:val="00A77017"/>
    <w:rsid w:val="00A77211"/>
    <w:rsid w:val="00A77679"/>
    <w:rsid w:val="00A77D7D"/>
    <w:rsid w:val="00A77E39"/>
    <w:rsid w:val="00A8035B"/>
    <w:rsid w:val="00A8057A"/>
    <w:rsid w:val="00A8076F"/>
    <w:rsid w:val="00A80C57"/>
    <w:rsid w:val="00A81952"/>
    <w:rsid w:val="00A81C4C"/>
    <w:rsid w:val="00A81D37"/>
    <w:rsid w:val="00A82730"/>
    <w:rsid w:val="00A82DAF"/>
    <w:rsid w:val="00A82F5B"/>
    <w:rsid w:val="00A82F8C"/>
    <w:rsid w:val="00A83495"/>
    <w:rsid w:val="00A83F6C"/>
    <w:rsid w:val="00A8409F"/>
    <w:rsid w:val="00A84191"/>
    <w:rsid w:val="00A846A8"/>
    <w:rsid w:val="00A84F20"/>
    <w:rsid w:val="00A84FA5"/>
    <w:rsid w:val="00A85433"/>
    <w:rsid w:val="00A85A85"/>
    <w:rsid w:val="00A86626"/>
    <w:rsid w:val="00A8704D"/>
    <w:rsid w:val="00A8756A"/>
    <w:rsid w:val="00A876C9"/>
    <w:rsid w:val="00A87757"/>
    <w:rsid w:val="00A9058E"/>
    <w:rsid w:val="00A9078E"/>
    <w:rsid w:val="00A90CCA"/>
    <w:rsid w:val="00A90E78"/>
    <w:rsid w:val="00A90F8D"/>
    <w:rsid w:val="00A91506"/>
    <w:rsid w:val="00A915FD"/>
    <w:rsid w:val="00A917F5"/>
    <w:rsid w:val="00A918EE"/>
    <w:rsid w:val="00A91D07"/>
    <w:rsid w:val="00A91E7C"/>
    <w:rsid w:val="00A920DE"/>
    <w:rsid w:val="00A921C5"/>
    <w:rsid w:val="00A92209"/>
    <w:rsid w:val="00A92701"/>
    <w:rsid w:val="00A92856"/>
    <w:rsid w:val="00A92949"/>
    <w:rsid w:val="00A935F6"/>
    <w:rsid w:val="00A9417D"/>
    <w:rsid w:val="00A944BD"/>
    <w:rsid w:val="00A945AE"/>
    <w:rsid w:val="00A94674"/>
    <w:rsid w:val="00A94CE8"/>
    <w:rsid w:val="00A94E12"/>
    <w:rsid w:val="00A953BB"/>
    <w:rsid w:val="00A953E4"/>
    <w:rsid w:val="00A95B08"/>
    <w:rsid w:val="00A95EB4"/>
    <w:rsid w:val="00A95FBB"/>
    <w:rsid w:val="00A96751"/>
    <w:rsid w:val="00A9691E"/>
    <w:rsid w:val="00A96A50"/>
    <w:rsid w:val="00A97A3B"/>
    <w:rsid w:val="00A97A8E"/>
    <w:rsid w:val="00A97EB5"/>
    <w:rsid w:val="00AA0179"/>
    <w:rsid w:val="00AA02E7"/>
    <w:rsid w:val="00AA066D"/>
    <w:rsid w:val="00AA0BC6"/>
    <w:rsid w:val="00AA0FE9"/>
    <w:rsid w:val="00AA1324"/>
    <w:rsid w:val="00AA157C"/>
    <w:rsid w:val="00AA18C9"/>
    <w:rsid w:val="00AA1BB0"/>
    <w:rsid w:val="00AA1C44"/>
    <w:rsid w:val="00AA1F63"/>
    <w:rsid w:val="00AA243B"/>
    <w:rsid w:val="00AA267F"/>
    <w:rsid w:val="00AA2829"/>
    <w:rsid w:val="00AA2BB7"/>
    <w:rsid w:val="00AA2E6F"/>
    <w:rsid w:val="00AA312D"/>
    <w:rsid w:val="00AA3207"/>
    <w:rsid w:val="00AA3DC5"/>
    <w:rsid w:val="00AA417B"/>
    <w:rsid w:val="00AA4408"/>
    <w:rsid w:val="00AA44CF"/>
    <w:rsid w:val="00AA455D"/>
    <w:rsid w:val="00AA4A7A"/>
    <w:rsid w:val="00AA592F"/>
    <w:rsid w:val="00AA5EEE"/>
    <w:rsid w:val="00AA5F9F"/>
    <w:rsid w:val="00AA6673"/>
    <w:rsid w:val="00AA6870"/>
    <w:rsid w:val="00AA69DB"/>
    <w:rsid w:val="00AA6ED7"/>
    <w:rsid w:val="00AA7437"/>
    <w:rsid w:val="00AA744F"/>
    <w:rsid w:val="00AA7839"/>
    <w:rsid w:val="00AA7B1B"/>
    <w:rsid w:val="00AA7F03"/>
    <w:rsid w:val="00AB0B4D"/>
    <w:rsid w:val="00AB1185"/>
    <w:rsid w:val="00AB132B"/>
    <w:rsid w:val="00AB2637"/>
    <w:rsid w:val="00AB275C"/>
    <w:rsid w:val="00AB2DF1"/>
    <w:rsid w:val="00AB30B6"/>
    <w:rsid w:val="00AB323B"/>
    <w:rsid w:val="00AB39AD"/>
    <w:rsid w:val="00AB3DFD"/>
    <w:rsid w:val="00AB3ED8"/>
    <w:rsid w:val="00AB411B"/>
    <w:rsid w:val="00AB44DF"/>
    <w:rsid w:val="00AB45DF"/>
    <w:rsid w:val="00AB4800"/>
    <w:rsid w:val="00AB489E"/>
    <w:rsid w:val="00AB5022"/>
    <w:rsid w:val="00AB5403"/>
    <w:rsid w:val="00AB5666"/>
    <w:rsid w:val="00AB60D5"/>
    <w:rsid w:val="00AB6196"/>
    <w:rsid w:val="00AB629F"/>
    <w:rsid w:val="00AB66C1"/>
    <w:rsid w:val="00AB6791"/>
    <w:rsid w:val="00AB6E48"/>
    <w:rsid w:val="00AB6FC6"/>
    <w:rsid w:val="00AB7075"/>
    <w:rsid w:val="00AB76D7"/>
    <w:rsid w:val="00AB7DFB"/>
    <w:rsid w:val="00AC046B"/>
    <w:rsid w:val="00AC08E8"/>
    <w:rsid w:val="00AC11A0"/>
    <w:rsid w:val="00AC12A7"/>
    <w:rsid w:val="00AC15BF"/>
    <w:rsid w:val="00AC1DD2"/>
    <w:rsid w:val="00AC200C"/>
    <w:rsid w:val="00AC209E"/>
    <w:rsid w:val="00AC20EC"/>
    <w:rsid w:val="00AC2183"/>
    <w:rsid w:val="00AC226A"/>
    <w:rsid w:val="00AC2770"/>
    <w:rsid w:val="00AC27C1"/>
    <w:rsid w:val="00AC2E4A"/>
    <w:rsid w:val="00AC2E67"/>
    <w:rsid w:val="00AC347D"/>
    <w:rsid w:val="00AC35C3"/>
    <w:rsid w:val="00AC3711"/>
    <w:rsid w:val="00AC3AE1"/>
    <w:rsid w:val="00AC3B30"/>
    <w:rsid w:val="00AC3DFB"/>
    <w:rsid w:val="00AC3EAC"/>
    <w:rsid w:val="00AC4642"/>
    <w:rsid w:val="00AC470A"/>
    <w:rsid w:val="00AC4822"/>
    <w:rsid w:val="00AC4E5B"/>
    <w:rsid w:val="00AC56E6"/>
    <w:rsid w:val="00AC5B2C"/>
    <w:rsid w:val="00AC5BDA"/>
    <w:rsid w:val="00AC683A"/>
    <w:rsid w:val="00AC683E"/>
    <w:rsid w:val="00AC6F27"/>
    <w:rsid w:val="00AC70DE"/>
    <w:rsid w:val="00AC73BA"/>
    <w:rsid w:val="00AC7417"/>
    <w:rsid w:val="00AC7A77"/>
    <w:rsid w:val="00AC7DDE"/>
    <w:rsid w:val="00AD0326"/>
    <w:rsid w:val="00AD0554"/>
    <w:rsid w:val="00AD09B0"/>
    <w:rsid w:val="00AD10CB"/>
    <w:rsid w:val="00AD1139"/>
    <w:rsid w:val="00AD1C54"/>
    <w:rsid w:val="00AD1DDA"/>
    <w:rsid w:val="00AD2430"/>
    <w:rsid w:val="00AD2534"/>
    <w:rsid w:val="00AD25B1"/>
    <w:rsid w:val="00AD270A"/>
    <w:rsid w:val="00AD272A"/>
    <w:rsid w:val="00AD27CA"/>
    <w:rsid w:val="00AD3D0D"/>
    <w:rsid w:val="00AD3F1E"/>
    <w:rsid w:val="00AD4345"/>
    <w:rsid w:val="00AD4465"/>
    <w:rsid w:val="00AD45AD"/>
    <w:rsid w:val="00AD4917"/>
    <w:rsid w:val="00AD4A4D"/>
    <w:rsid w:val="00AD4B4F"/>
    <w:rsid w:val="00AD58A2"/>
    <w:rsid w:val="00AD5DCC"/>
    <w:rsid w:val="00AD6370"/>
    <w:rsid w:val="00AD6570"/>
    <w:rsid w:val="00AD67BE"/>
    <w:rsid w:val="00AD6B55"/>
    <w:rsid w:val="00AD6F4E"/>
    <w:rsid w:val="00AD734D"/>
    <w:rsid w:val="00AD764B"/>
    <w:rsid w:val="00AE01EF"/>
    <w:rsid w:val="00AE0BD5"/>
    <w:rsid w:val="00AE0D1D"/>
    <w:rsid w:val="00AE11DE"/>
    <w:rsid w:val="00AE16B2"/>
    <w:rsid w:val="00AE18B6"/>
    <w:rsid w:val="00AE1AB1"/>
    <w:rsid w:val="00AE1D19"/>
    <w:rsid w:val="00AE1EA9"/>
    <w:rsid w:val="00AE1F4C"/>
    <w:rsid w:val="00AE1FBC"/>
    <w:rsid w:val="00AE200A"/>
    <w:rsid w:val="00AE24BB"/>
    <w:rsid w:val="00AE29D2"/>
    <w:rsid w:val="00AE2A24"/>
    <w:rsid w:val="00AE389B"/>
    <w:rsid w:val="00AE3A35"/>
    <w:rsid w:val="00AE4374"/>
    <w:rsid w:val="00AE47FE"/>
    <w:rsid w:val="00AE4808"/>
    <w:rsid w:val="00AE4B50"/>
    <w:rsid w:val="00AE4DE5"/>
    <w:rsid w:val="00AE4ECB"/>
    <w:rsid w:val="00AE54FE"/>
    <w:rsid w:val="00AE5B12"/>
    <w:rsid w:val="00AE5BBE"/>
    <w:rsid w:val="00AE5F6C"/>
    <w:rsid w:val="00AE6390"/>
    <w:rsid w:val="00AE6556"/>
    <w:rsid w:val="00AE6D3C"/>
    <w:rsid w:val="00AE6E2B"/>
    <w:rsid w:val="00AE7054"/>
    <w:rsid w:val="00AE7124"/>
    <w:rsid w:val="00AE721B"/>
    <w:rsid w:val="00AE729D"/>
    <w:rsid w:val="00AE7590"/>
    <w:rsid w:val="00AE796A"/>
    <w:rsid w:val="00AF008C"/>
    <w:rsid w:val="00AF04DB"/>
    <w:rsid w:val="00AF0555"/>
    <w:rsid w:val="00AF0FA8"/>
    <w:rsid w:val="00AF1131"/>
    <w:rsid w:val="00AF139F"/>
    <w:rsid w:val="00AF16D6"/>
    <w:rsid w:val="00AF19F5"/>
    <w:rsid w:val="00AF1FA8"/>
    <w:rsid w:val="00AF2445"/>
    <w:rsid w:val="00AF295D"/>
    <w:rsid w:val="00AF321A"/>
    <w:rsid w:val="00AF373F"/>
    <w:rsid w:val="00AF3AA2"/>
    <w:rsid w:val="00AF3AAE"/>
    <w:rsid w:val="00AF41FD"/>
    <w:rsid w:val="00AF43DE"/>
    <w:rsid w:val="00AF45D7"/>
    <w:rsid w:val="00AF483C"/>
    <w:rsid w:val="00AF487A"/>
    <w:rsid w:val="00AF5900"/>
    <w:rsid w:val="00AF6B9E"/>
    <w:rsid w:val="00AF6F25"/>
    <w:rsid w:val="00AF6F5E"/>
    <w:rsid w:val="00AF7245"/>
    <w:rsid w:val="00AF7AB9"/>
    <w:rsid w:val="00AF7AE3"/>
    <w:rsid w:val="00B00285"/>
    <w:rsid w:val="00B00438"/>
    <w:rsid w:val="00B006A3"/>
    <w:rsid w:val="00B0071C"/>
    <w:rsid w:val="00B00990"/>
    <w:rsid w:val="00B00F8B"/>
    <w:rsid w:val="00B01258"/>
    <w:rsid w:val="00B012BF"/>
    <w:rsid w:val="00B012C9"/>
    <w:rsid w:val="00B014A1"/>
    <w:rsid w:val="00B01B80"/>
    <w:rsid w:val="00B01BBD"/>
    <w:rsid w:val="00B01D5A"/>
    <w:rsid w:val="00B02151"/>
    <w:rsid w:val="00B02526"/>
    <w:rsid w:val="00B028A4"/>
    <w:rsid w:val="00B02BB2"/>
    <w:rsid w:val="00B02D5A"/>
    <w:rsid w:val="00B03962"/>
    <w:rsid w:val="00B039F8"/>
    <w:rsid w:val="00B03DEC"/>
    <w:rsid w:val="00B03E82"/>
    <w:rsid w:val="00B0432A"/>
    <w:rsid w:val="00B04381"/>
    <w:rsid w:val="00B0446B"/>
    <w:rsid w:val="00B04DFF"/>
    <w:rsid w:val="00B0525B"/>
    <w:rsid w:val="00B05411"/>
    <w:rsid w:val="00B05A5B"/>
    <w:rsid w:val="00B05C1D"/>
    <w:rsid w:val="00B05F90"/>
    <w:rsid w:val="00B0642D"/>
    <w:rsid w:val="00B06ED9"/>
    <w:rsid w:val="00B07530"/>
    <w:rsid w:val="00B07561"/>
    <w:rsid w:val="00B106F0"/>
    <w:rsid w:val="00B107B0"/>
    <w:rsid w:val="00B10954"/>
    <w:rsid w:val="00B10D6A"/>
    <w:rsid w:val="00B112E1"/>
    <w:rsid w:val="00B11713"/>
    <w:rsid w:val="00B1177D"/>
    <w:rsid w:val="00B1216B"/>
    <w:rsid w:val="00B12383"/>
    <w:rsid w:val="00B12B16"/>
    <w:rsid w:val="00B12DE2"/>
    <w:rsid w:val="00B12E5F"/>
    <w:rsid w:val="00B12F07"/>
    <w:rsid w:val="00B1301D"/>
    <w:rsid w:val="00B1308B"/>
    <w:rsid w:val="00B131F1"/>
    <w:rsid w:val="00B1344C"/>
    <w:rsid w:val="00B1396B"/>
    <w:rsid w:val="00B13B52"/>
    <w:rsid w:val="00B13C57"/>
    <w:rsid w:val="00B13ED7"/>
    <w:rsid w:val="00B143E0"/>
    <w:rsid w:val="00B14AED"/>
    <w:rsid w:val="00B15DEF"/>
    <w:rsid w:val="00B16FEA"/>
    <w:rsid w:val="00B17125"/>
    <w:rsid w:val="00B17151"/>
    <w:rsid w:val="00B1771F"/>
    <w:rsid w:val="00B17ED3"/>
    <w:rsid w:val="00B20612"/>
    <w:rsid w:val="00B20C9C"/>
    <w:rsid w:val="00B212F7"/>
    <w:rsid w:val="00B214E2"/>
    <w:rsid w:val="00B2153D"/>
    <w:rsid w:val="00B223E9"/>
    <w:rsid w:val="00B225D1"/>
    <w:rsid w:val="00B22995"/>
    <w:rsid w:val="00B22AB5"/>
    <w:rsid w:val="00B24091"/>
    <w:rsid w:val="00B241FD"/>
    <w:rsid w:val="00B24F53"/>
    <w:rsid w:val="00B25262"/>
    <w:rsid w:val="00B2561F"/>
    <w:rsid w:val="00B257AA"/>
    <w:rsid w:val="00B257B6"/>
    <w:rsid w:val="00B25E08"/>
    <w:rsid w:val="00B2607F"/>
    <w:rsid w:val="00B263A4"/>
    <w:rsid w:val="00B26472"/>
    <w:rsid w:val="00B2666E"/>
    <w:rsid w:val="00B26828"/>
    <w:rsid w:val="00B26C10"/>
    <w:rsid w:val="00B26C26"/>
    <w:rsid w:val="00B26E9E"/>
    <w:rsid w:val="00B2710E"/>
    <w:rsid w:val="00B27313"/>
    <w:rsid w:val="00B2757F"/>
    <w:rsid w:val="00B27C65"/>
    <w:rsid w:val="00B27E60"/>
    <w:rsid w:val="00B27F61"/>
    <w:rsid w:val="00B27FC2"/>
    <w:rsid w:val="00B300FF"/>
    <w:rsid w:val="00B30A36"/>
    <w:rsid w:val="00B30E83"/>
    <w:rsid w:val="00B30F3F"/>
    <w:rsid w:val="00B313AE"/>
    <w:rsid w:val="00B315BA"/>
    <w:rsid w:val="00B316A3"/>
    <w:rsid w:val="00B316DB"/>
    <w:rsid w:val="00B3181F"/>
    <w:rsid w:val="00B31980"/>
    <w:rsid w:val="00B31BF1"/>
    <w:rsid w:val="00B31C15"/>
    <w:rsid w:val="00B31CE6"/>
    <w:rsid w:val="00B322CB"/>
    <w:rsid w:val="00B32803"/>
    <w:rsid w:val="00B32932"/>
    <w:rsid w:val="00B32C59"/>
    <w:rsid w:val="00B338D6"/>
    <w:rsid w:val="00B339B7"/>
    <w:rsid w:val="00B3436E"/>
    <w:rsid w:val="00B34825"/>
    <w:rsid w:val="00B353D7"/>
    <w:rsid w:val="00B357D4"/>
    <w:rsid w:val="00B35CA5"/>
    <w:rsid w:val="00B35F27"/>
    <w:rsid w:val="00B36248"/>
    <w:rsid w:val="00B368D1"/>
    <w:rsid w:val="00B36C54"/>
    <w:rsid w:val="00B37531"/>
    <w:rsid w:val="00B37803"/>
    <w:rsid w:val="00B40193"/>
    <w:rsid w:val="00B4026C"/>
    <w:rsid w:val="00B40372"/>
    <w:rsid w:val="00B4076E"/>
    <w:rsid w:val="00B41C77"/>
    <w:rsid w:val="00B41CD0"/>
    <w:rsid w:val="00B41DFE"/>
    <w:rsid w:val="00B435B4"/>
    <w:rsid w:val="00B4384B"/>
    <w:rsid w:val="00B43EEE"/>
    <w:rsid w:val="00B43F18"/>
    <w:rsid w:val="00B43F8C"/>
    <w:rsid w:val="00B44527"/>
    <w:rsid w:val="00B4480C"/>
    <w:rsid w:val="00B44D4E"/>
    <w:rsid w:val="00B45145"/>
    <w:rsid w:val="00B4518D"/>
    <w:rsid w:val="00B45412"/>
    <w:rsid w:val="00B45681"/>
    <w:rsid w:val="00B457FA"/>
    <w:rsid w:val="00B45906"/>
    <w:rsid w:val="00B45FC3"/>
    <w:rsid w:val="00B463CB"/>
    <w:rsid w:val="00B46752"/>
    <w:rsid w:val="00B46B2E"/>
    <w:rsid w:val="00B472CF"/>
    <w:rsid w:val="00B47376"/>
    <w:rsid w:val="00B476E3"/>
    <w:rsid w:val="00B47750"/>
    <w:rsid w:val="00B47CA9"/>
    <w:rsid w:val="00B5003D"/>
    <w:rsid w:val="00B50298"/>
    <w:rsid w:val="00B516EE"/>
    <w:rsid w:val="00B518B8"/>
    <w:rsid w:val="00B5244D"/>
    <w:rsid w:val="00B5265F"/>
    <w:rsid w:val="00B52683"/>
    <w:rsid w:val="00B52A8F"/>
    <w:rsid w:val="00B531A4"/>
    <w:rsid w:val="00B53522"/>
    <w:rsid w:val="00B53988"/>
    <w:rsid w:val="00B53EA9"/>
    <w:rsid w:val="00B53F36"/>
    <w:rsid w:val="00B54A5B"/>
    <w:rsid w:val="00B54A77"/>
    <w:rsid w:val="00B54C4D"/>
    <w:rsid w:val="00B54FF3"/>
    <w:rsid w:val="00B55790"/>
    <w:rsid w:val="00B559BE"/>
    <w:rsid w:val="00B55B57"/>
    <w:rsid w:val="00B55C67"/>
    <w:rsid w:val="00B568EA"/>
    <w:rsid w:val="00B5721D"/>
    <w:rsid w:val="00B57273"/>
    <w:rsid w:val="00B5730F"/>
    <w:rsid w:val="00B57378"/>
    <w:rsid w:val="00B576F8"/>
    <w:rsid w:val="00B57E88"/>
    <w:rsid w:val="00B6025B"/>
    <w:rsid w:val="00B602A0"/>
    <w:rsid w:val="00B60773"/>
    <w:rsid w:val="00B60CFF"/>
    <w:rsid w:val="00B6115C"/>
    <w:rsid w:val="00B61186"/>
    <w:rsid w:val="00B6180A"/>
    <w:rsid w:val="00B61813"/>
    <w:rsid w:val="00B61948"/>
    <w:rsid w:val="00B61CF1"/>
    <w:rsid w:val="00B61D0F"/>
    <w:rsid w:val="00B624B1"/>
    <w:rsid w:val="00B625AC"/>
    <w:rsid w:val="00B627FC"/>
    <w:rsid w:val="00B6293F"/>
    <w:rsid w:val="00B63929"/>
    <w:rsid w:val="00B64178"/>
    <w:rsid w:val="00B64922"/>
    <w:rsid w:val="00B64E7F"/>
    <w:rsid w:val="00B650DF"/>
    <w:rsid w:val="00B65611"/>
    <w:rsid w:val="00B65CED"/>
    <w:rsid w:val="00B66270"/>
    <w:rsid w:val="00B66AB2"/>
    <w:rsid w:val="00B66CD3"/>
    <w:rsid w:val="00B66D9C"/>
    <w:rsid w:val="00B6703C"/>
    <w:rsid w:val="00B670D5"/>
    <w:rsid w:val="00B6798C"/>
    <w:rsid w:val="00B7055C"/>
    <w:rsid w:val="00B70746"/>
    <w:rsid w:val="00B70C7F"/>
    <w:rsid w:val="00B71292"/>
    <w:rsid w:val="00B717E4"/>
    <w:rsid w:val="00B71BF9"/>
    <w:rsid w:val="00B71C1A"/>
    <w:rsid w:val="00B71E61"/>
    <w:rsid w:val="00B7211A"/>
    <w:rsid w:val="00B7262D"/>
    <w:rsid w:val="00B72CDC"/>
    <w:rsid w:val="00B72DD4"/>
    <w:rsid w:val="00B73863"/>
    <w:rsid w:val="00B73F54"/>
    <w:rsid w:val="00B7441B"/>
    <w:rsid w:val="00B74691"/>
    <w:rsid w:val="00B7478A"/>
    <w:rsid w:val="00B7486D"/>
    <w:rsid w:val="00B748AF"/>
    <w:rsid w:val="00B74D13"/>
    <w:rsid w:val="00B751B8"/>
    <w:rsid w:val="00B7536E"/>
    <w:rsid w:val="00B753A8"/>
    <w:rsid w:val="00B761FF"/>
    <w:rsid w:val="00B76421"/>
    <w:rsid w:val="00B7659A"/>
    <w:rsid w:val="00B7661B"/>
    <w:rsid w:val="00B7667B"/>
    <w:rsid w:val="00B76CD0"/>
    <w:rsid w:val="00B77311"/>
    <w:rsid w:val="00B77CD7"/>
    <w:rsid w:val="00B77EB2"/>
    <w:rsid w:val="00B77FA5"/>
    <w:rsid w:val="00B80184"/>
    <w:rsid w:val="00B804AF"/>
    <w:rsid w:val="00B807D3"/>
    <w:rsid w:val="00B80CF4"/>
    <w:rsid w:val="00B80EAD"/>
    <w:rsid w:val="00B8139C"/>
    <w:rsid w:val="00B81802"/>
    <w:rsid w:val="00B8197C"/>
    <w:rsid w:val="00B81C03"/>
    <w:rsid w:val="00B82021"/>
    <w:rsid w:val="00B82707"/>
    <w:rsid w:val="00B82771"/>
    <w:rsid w:val="00B82854"/>
    <w:rsid w:val="00B82F35"/>
    <w:rsid w:val="00B83461"/>
    <w:rsid w:val="00B834C2"/>
    <w:rsid w:val="00B837BF"/>
    <w:rsid w:val="00B83892"/>
    <w:rsid w:val="00B839B8"/>
    <w:rsid w:val="00B83ED6"/>
    <w:rsid w:val="00B8449B"/>
    <w:rsid w:val="00B847DE"/>
    <w:rsid w:val="00B847FA"/>
    <w:rsid w:val="00B85866"/>
    <w:rsid w:val="00B85A95"/>
    <w:rsid w:val="00B85EA4"/>
    <w:rsid w:val="00B8626F"/>
    <w:rsid w:val="00B8643B"/>
    <w:rsid w:val="00B86F3D"/>
    <w:rsid w:val="00B86FF8"/>
    <w:rsid w:val="00B870A2"/>
    <w:rsid w:val="00B87389"/>
    <w:rsid w:val="00B87B2F"/>
    <w:rsid w:val="00B87D2E"/>
    <w:rsid w:val="00B87E82"/>
    <w:rsid w:val="00B9032A"/>
    <w:rsid w:val="00B90636"/>
    <w:rsid w:val="00B90644"/>
    <w:rsid w:val="00B907D4"/>
    <w:rsid w:val="00B90FA8"/>
    <w:rsid w:val="00B91494"/>
    <w:rsid w:val="00B918F7"/>
    <w:rsid w:val="00B91BCD"/>
    <w:rsid w:val="00B91D4F"/>
    <w:rsid w:val="00B91DDD"/>
    <w:rsid w:val="00B91F36"/>
    <w:rsid w:val="00B920E2"/>
    <w:rsid w:val="00B92421"/>
    <w:rsid w:val="00B9294C"/>
    <w:rsid w:val="00B92FC9"/>
    <w:rsid w:val="00B93120"/>
    <w:rsid w:val="00B93C39"/>
    <w:rsid w:val="00B93C9E"/>
    <w:rsid w:val="00B94461"/>
    <w:rsid w:val="00B945EF"/>
    <w:rsid w:val="00B946DC"/>
    <w:rsid w:val="00B947A8"/>
    <w:rsid w:val="00B94879"/>
    <w:rsid w:val="00B94AF8"/>
    <w:rsid w:val="00B952B8"/>
    <w:rsid w:val="00B957E8"/>
    <w:rsid w:val="00B962EB"/>
    <w:rsid w:val="00B9683E"/>
    <w:rsid w:val="00B97029"/>
    <w:rsid w:val="00B9741C"/>
    <w:rsid w:val="00B9744C"/>
    <w:rsid w:val="00B9753B"/>
    <w:rsid w:val="00B9762D"/>
    <w:rsid w:val="00B97843"/>
    <w:rsid w:val="00B97C0B"/>
    <w:rsid w:val="00B97DDB"/>
    <w:rsid w:val="00BA004B"/>
    <w:rsid w:val="00BA0335"/>
    <w:rsid w:val="00BA0A86"/>
    <w:rsid w:val="00BA0AC2"/>
    <w:rsid w:val="00BA117C"/>
    <w:rsid w:val="00BA122D"/>
    <w:rsid w:val="00BA1639"/>
    <w:rsid w:val="00BA1B57"/>
    <w:rsid w:val="00BA1C29"/>
    <w:rsid w:val="00BA1C49"/>
    <w:rsid w:val="00BA1F69"/>
    <w:rsid w:val="00BA22A3"/>
    <w:rsid w:val="00BA26AC"/>
    <w:rsid w:val="00BA2B6D"/>
    <w:rsid w:val="00BA2C1A"/>
    <w:rsid w:val="00BA3505"/>
    <w:rsid w:val="00BA3593"/>
    <w:rsid w:val="00BA3FC0"/>
    <w:rsid w:val="00BA4507"/>
    <w:rsid w:val="00BA4938"/>
    <w:rsid w:val="00BA4B80"/>
    <w:rsid w:val="00BA4EFD"/>
    <w:rsid w:val="00BA50F9"/>
    <w:rsid w:val="00BA512D"/>
    <w:rsid w:val="00BA51C0"/>
    <w:rsid w:val="00BA53B4"/>
    <w:rsid w:val="00BA5C87"/>
    <w:rsid w:val="00BA5EFD"/>
    <w:rsid w:val="00BA6C5F"/>
    <w:rsid w:val="00BA71E5"/>
    <w:rsid w:val="00BA748C"/>
    <w:rsid w:val="00BA74D5"/>
    <w:rsid w:val="00BA774E"/>
    <w:rsid w:val="00BA778B"/>
    <w:rsid w:val="00BA7819"/>
    <w:rsid w:val="00BA7C36"/>
    <w:rsid w:val="00BA7D9B"/>
    <w:rsid w:val="00BB0834"/>
    <w:rsid w:val="00BB0835"/>
    <w:rsid w:val="00BB0855"/>
    <w:rsid w:val="00BB0903"/>
    <w:rsid w:val="00BB1017"/>
    <w:rsid w:val="00BB11C8"/>
    <w:rsid w:val="00BB17CE"/>
    <w:rsid w:val="00BB25BF"/>
    <w:rsid w:val="00BB2805"/>
    <w:rsid w:val="00BB2DE0"/>
    <w:rsid w:val="00BB3C3A"/>
    <w:rsid w:val="00BB3F4B"/>
    <w:rsid w:val="00BB40DC"/>
    <w:rsid w:val="00BB427C"/>
    <w:rsid w:val="00BB4491"/>
    <w:rsid w:val="00BB44D1"/>
    <w:rsid w:val="00BB44E5"/>
    <w:rsid w:val="00BB4F7B"/>
    <w:rsid w:val="00BB59B8"/>
    <w:rsid w:val="00BB5C96"/>
    <w:rsid w:val="00BB5D1A"/>
    <w:rsid w:val="00BB6511"/>
    <w:rsid w:val="00BB6F1E"/>
    <w:rsid w:val="00BB74F8"/>
    <w:rsid w:val="00BB75DE"/>
    <w:rsid w:val="00BB7786"/>
    <w:rsid w:val="00BB784D"/>
    <w:rsid w:val="00BB7A5C"/>
    <w:rsid w:val="00BB7AE1"/>
    <w:rsid w:val="00BB7D5F"/>
    <w:rsid w:val="00BC066D"/>
    <w:rsid w:val="00BC0BA0"/>
    <w:rsid w:val="00BC1610"/>
    <w:rsid w:val="00BC1EDC"/>
    <w:rsid w:val="00BC261B"/>
    <w:rsid w:val="00BC2703"/>
    <w:rsid w:val="00BC2A3B"/>
    <w:rsid w:val="00BC2B57"/>
    <w:rsid w:val="00BC2C30"/>
    <w:rsid w:val="00BC2CE9"/>
    <w:rsid w:val="00BC343B"/>
    <w:rsid w:val="00BC34A1"/>
    <w:rsid w:val="00BC3D06"/>
    <w:rsid w:val="00BC4B99"/>
    <w:rsid w:val="00BC4D00"/>
    <w:rsid w:val="00BC4EEE"/>
    <w:rsid w:val="00BC512C"/>
    <w:rsid w:val="00BC524C"/>
    <w:rsid w:val="00BC557B"/>
    <w:rsid w:val="00BC5586"/>
    <w:rsid w:val="00BC584F"/>
    <w:rsid w:val="00BC58EE"/>
    <w:rsid w:val="00BC5CE2"/>
    <w:rsid w:val="00BC67D4"/>
    <w:rsid w:val="00BC6857"/>
    <w:rsid w:val="00BC6A61"/>
    <w:rsid w:val="00BC6F41"/>
    <w:rsid w:val="00BC7008"/>
    <w:rsid w:val="00BC7611"/>
    <w:rsid w:val="00BC79EA"/>
    <w:rsid w:val="00BC7BEF"/>
    <w:rsid w:val="00BD0277"/>
    <w:rsid w:val="00BD04D3"/>
    <w:rsid w:val="00BD0A73"/>
    <w:rsid w:val="00BD0B81"/>
    <w:rsid w:val="00BD0CEE"/>
    <w:rsid w:val="00BD1CBD"/>
    <w:rsid w:val="00BD1CCA"/>
    <w:rsid w:val="00BD1DAA"/>
    <w:rsid w:val="00BD1E8A"/>
    <w:rsid w:val="00BD2E83"/>
    <w:rsid w:val="00BD3FD3"/>
    <w:rsid w:val="00BD40CA"/>
    <w:rsid w:val="00BD43E5"/>
    <w:rsid w:val="00BD467E"/>
    <w:rsid w:val="00BD4993"/>
    <w:rsid w:val="00BD4A93"/>
    <w:rsid w:val="00BD53DC"/>
    <w:rsid w:val="00BD5769"/>
    <w:rsid w:val="00BD589D"/>
    <w:rsid w:val="00BD58B4"/>
    <w:rsid w:val="00BD5C59"/>
    <w:rsid w:val="00BD5E35"/>
    <w:rsid w:val="00BD66B2"/>
    <w:rsid w:val="00BD696F"/>
    <w:rsid w:val="00BD69DD"/>
    <w:rsid w:val="00BD6E00"/>
    <w:rsid w:val="00BD6F08"/>
    <w:rsid w:val="00BD71DF"/>
    <w:rsid w:val="00BD7529"/>
    <w:rsid w:val="00BD75D7"/>
    <w:rsid w:val="00BD7947"/>
    <w:rsid w:val="00BD79EB"/>
    <w:rsid w:val="00BD7B98"/>
    <w:rsid w:val="00BE060D"/>
    <w:rsid w:val="00BE062C"/>
    <w:rsid w:val="00BE07DD"/>
    <w:rsid w:val="00BE0894"/>
    <w:rsid w:val="00BE12DD"/>
    <w:rsid w:val="00BE140F"/>
    <w:rsid w:val="00BE17D8"/>
    <w:rsid w:val="00BE1B8A"/>
    <w:rsid w:val="00BE1BD7"/>
    <w:rsid w:val="00BE1C4D"/>
    <w:rsid w:val="00BE2199"/>
    <w:rsid w:val="00BE2223"/>
    <w:rsid w:val="00BE2935"/>
    <w:rsid w:val="00BE2F6F"/>
    <w:rsid w:val="00BE3562"/>
    <w:rsid w:val="00BE3D68"/>
    <w:rsid w:val="00BE3FDE"/>
    <w:rsid w:val="00BE4212"/>
    <w:rsid w:val="00BE4755"/>
    <w:rsid w:val="00BE4775"/>
    <w:rsid w:val="00BE4A3B"/>
    <w:rsid w:val="00BE4A49"/>
    <w:rsid w:val="00BE5165"/>
    <w:rsid w:val="00BE5280"/>
    <w:rsid w:val="00BE59C7"/>
    <w:rsid w:val="00BE63D3"/>
    <w:rsid w:val="00BE64A5"/>
    <w:rsid w:val="00BE6798"/>
    <w:rsid w:val="00BE6818"/>
    <w:rsid w:val="00BE692F"/>
    <w:rsid w:val="00BE6993"/>
    <w:rsid w:val="00BE69F8"/>
    <w:rsid w:val="00BE7013"/>
    <w:rsid w:val="00BE72CE"/>
    <w:rsid w:val="00BE7676"/>
    <w:rsid w:val="00BE7699"/>
    <w:rsid w:val="00BE7D01"/>
    <w:rsid w:val="00BE7D1F"/>
    <w:rsid w:val="00BF048D"/>
    <w:rsid w:val="00BF05C2"/>
    <w:rsid w:val="00BF0734"/>
    <w:rsid w:val="00BF0AE3"/>
    <w:rsid w:val="00BF0CBD"/>
    <w:rsid w:val="00BF0D7D"/>
    <w:rsid w:val="00BF1588"/>
    <w:rsid w:val="00BF15A1"/>
    <w:rsid w:val="00BF183B"/>
    <w:rsid w:val="00BF1A50"/>
    <w:rsid w:val="00BF1F37"/>
    <w:rsid w:val="00BF2ED8"/>
    <w:rsid w:val="00BF30EF"/>
    <w:rsid w:val="00BF3556"/>
    <w:rsid w:val="00BF35FE"/>
    <w:rsid w:val="00BF3796"/>
    <w:rsid w:val="00BF37D9"/>
    <w:rsid w:val="00BF3FAE"/>
    <w:rsid w:val="00BF42BA"/>
    <w:rsid w:val="00BF44F1"/>
    <w:rsid w:val="00BF4B1C"/>
    <w:rsid w:val="00BF4B43"/>
    <w:rsid w:val="00BF4BCD"/>
    <w:rsid w:val="00BF4D24"/>
    <w:rsid w:val="00BF5420"/>
    <w:rsid w:val="00BF5763"/>
    <w:rsid w:val="00BF6550"/>
    <w:rsid w:val="00BF6870"/>
    <w:rsid w:val="00BF69FE"/>
    <w:rsid w:val="00BF7400"/>
    <w:rsid w:val="00C00640"/>
    <w:rsid w:val="00C00751"/>
    <w:rsid w:val="00C01158"/>
    <w:rsid w:val="00C01297"/>
    <w:rsid w:val="00C0139D"/>
    <w:rsid w:val="00C01E38"/>
    <w:rsid w:val="00C01F67"/>
    <w:rsid w:val="00C02863"/>
    <w:rsid w:val="00C02CAB"/>
    <w:rsid w:val="00C02E42"/>
    <w:rsid w:val="00C03689"/>
    <w:rsid w:val="00C03A1C"/>
    <w:rsid w:val="00C04029"/>
    <w:rsid w:val="00C04127"/>
    <w:rsid w:val="00C04164"/>
    <w:rsid w:val="00C04235"/>
    <w:rsid w:val="00C05132"/>
    <w:rsid w:val="00C0521D"/>
    <w:rsid w:val="00C052A9"/>
    <w:rsid w:val="00C0542B"/>
    <w:rsid w:val="00C05649"/>
    <w:rsid w:val="00C0595F"/>
    <w:rsid w:val="00C05E1E"/>
    <w:rsid w:val="00C05F51"/>
    <w:rsid w:val="00C060F0"/>
    <w:rsid w:val="00C06392"/>
    <w:rsid w:val="00C06473"/>
    <w:rsid w:val="00C06B47"/>
    <w:rsid w:val="00C06D74"/>
    <w:rsid w:val="00C07057"/>
    <w:rsid w:val="00C07E05"/>
    <w:rsid w:val="00C10068"/>
    <w:rsid w:val="00C10136"/>
    <w:rsid w:val="00C103AE"/>
    <w:rsid w:val="00C10B4E"/>
    <w:rsid w:val="00C10B9A"/>
    <w:rsid w:val="00C116AC"/>
    <w:rsid w:val="00C11774"/>
    <w:rsid w:val="00C11864"/>
    <w:rsid w:val="00C118B2"/>
    <w:rsid w:val="00C1195C"/>
    <w:rsid w:val="00C119AF"/>
    <w:rsid w:val="00C12502"/>
    <w:rsid w:val="00C125DB"/>
    <w:rsid w:val="00C126C8"/>
    <w:rsid w:val="00C1345E"/>
    <w:rsid w:val="00C134A9"/>
    <w:rsid w:val="00C13A47"/>
    <w:rsid w:val="00C13B78"/>
    <w:rsid w:val="00C14109"/>
    <w:rsid w:val="00C1461F"/>
    <w:rsid w:val="00C14E15"/>
    <w:rsid w:val="00C151B7"/>
    <w:rsid w:val="00C15927"/>
    <w:rsid w:val="00C15E38"/>
    <w:rsid w:val="00C16270"/>
    <w:rsid w:val="00C16569"/>
    <w:rsid w:val="00C169C2"/>
    <w:rsid w:val="00C16A45"/>
    <w:rsid w:val="00C172AB"/>
    <w:rsid w:val="00C1746B"/>
    <w:rsid w:val="00C17870"/>
    <w:rsid w:val="00C17F6C"/>
    <w:rsid w:val="00C21775"/>
    <w:rsid w:val="00C217C2"/>
    <w:rsid w:val="00C219B3"/>
    <w:rsid w:val="00C22473"/>
    <w:rsid w:val="00C22595"/>
    <w:rsid w:val="00C227A0"/>
    <w:rsid w:val="00C2330C"/>
    <w:rsid w:val="00C2393C"/>
    <w:rsid w:val="00C23A23"/>
    <w:rsid w:val="00C23DD2"/>
    <w:rsid w:val="00C243B8"/>
    <w:rsid w:val="00C24501"/>
    <w:rsid w:val="00C246CD"/>
    <w:rsid w:val="00C2560D"/>
    <w:rsid w:val="00C25887"/>
    <w:rsid w:val="00C2621C"/>
    <w:rsid w:val="00C26CB1"/>
    <w:rsid w:val="00C26FE5"/>
    <w:rsid w:val="00C27101"/>
    <w:rsid w:val="00C2720A"/>
    <w:rsid w:val="00C27414"/>
    <w:rsid w:val="00C2748C"/>
    <w:rsid w:val="00C27791"/>
    <w:rsid w:val="00C27A00"/>
    <w:rsid w:val="00C301A2"/>
    <w:rsid w:val="00C30483"/>
    <w:rsid w:val="00C3064F"/>
    <w:rsid w:val="00C30BF6"/>
    <w:rsid w:val="00C30FB2"/>
    <w:rsid w:val="00C31017"/>
    <w:rsid w:val="00C31BE6"/>
    <w:rsid w:val="00C32231"/>
    <w:rsid w:val="00C324F8"/>
    <w:rsid w:val="00C329A0"/>
    <w:rsid w:val="00C32F66"/>
    <w:rsid w:val="00C33A83"/>
    <w:rsid w:val="00C33CA7"/>
    <w:rsid w:val="00C343E2"/>
    <w:rsid w:val="00C3446F"/>
    <w:rsid w:val="00C350E6"/>
    <w:rsid w:val="00C35387"/>
    <w:rsid w:val="00C35AD2"/>
    <w:rsid w:val="00C35AF9"/>
    <w:rsid w:val="00C35DBD"/>
    <w:rsid w:val="00C36188"/>
    <w:rsid w:val="00C36997"/>
    <w:rsid w:val="00C36CC4"/>
    <w:rsid w:val="00C36DFA"/>
    <w:rsid w:val="00C36E5F"/>
    <w:rsid w:val="00C36F93"/>
    <w:rsid w:val="00C37035"/>
    <w:rsid w:val="00C376F9"/>
    <w:rsid w:val="00C37F3F"/>
    <w:rsid w:val="00C40043"/>
    <w:rsid w:val="00C40D09"/>
    <w:rsid w:val="00C40FD0"/>
    <w:rsid w:val="00C422D3"/>
    <w:rsid w:val="00C4246D"/>
    <w:rsid w:val="00C427E8"/>
    <w:rsid w:val="00C42DD0"/>
    <w:rsid w:val="00C4326E"/>
    <w:rsid w:val="00C43464"/>
    <w:rsid w:val="00C43EA9"/>
    <w:rsid w:val="00C44130"/>
    <w:rsid w:val="00C44C57"/>
    <w:rsid w:val="00C44F3A"/>
    <w:rsid w:val="00C44F3D"/>
    <w:rsid w:val="00C4503A"/>
    <w:rsid w:val="00C4508C"/>
    <w:rsid w:val="00C457BB"/>
    <w:rsid w:val="00C45BA8"/>
    <w:rsid w:val="00C4626A"/>
    <w:rsid w:val="00C4634D"/>
    <w:rsid w:val="00C463AE"/>
    <w:rsid w:val="00C46BA1"/>
    <w:rsid w:val="00C470CA"/>
    <w:rsid w:val="00C47401"/>
    <w:rsid w:val="00C4750B"/>
    <w:rsid w:val="00C47943"/>
    <w:rsid w:val="00C47ABE"/>
    <w:rsid w:val="00C50274"/>
    <w:rsid w:val="00C50520"/>
    <w:rsid w:val="00C505B8"/>
    <w:rsid w:val="00C508D4"/>
    <w:rsid w:val="00C50D6B"/>
    <w:rsid w:val="00C512BC"/>
    <w:rsid w:val="00C515F1"/>
    <w:rsid w:val="00C51977"/>
    <w:rsid w:val="00C5234F"/>
    <w:rsid w:val="00C5248D"/>
    <w:rsid w:val="00C524B5"/>
    <w:rsid w:val="00C52774"/>
    <w:rsid w:val="00C54190"/>
    <w:rsid w:val="00C542A3"/>
    <w:rsid w:val="00C547D9"/>
    <w:rsid w:val="00C549C3"/>
    <w:rsid w:val="00C5580F"/>
    <w:rsid w:val="00C55866"/>
    <w:rsid w:val="00C55E76"/>
    <w:rsid w:val="00C566F2"/>
    <w:rsid w:val="00C56D1A"/>
    <w:rsid w:val="00C56FC7"/>
    <w:rsid w:val="00C57274"/>
    <w:rsid w:val="00C57C63"/>
    <w:rsid w:val="00C57DEF"/>
    <w:rsid w:val="00C600D5"/>
    <w:rsid w:val="00C6061C"/>
    <w:rsid w:val="00C6072F"/>
    <w:rsid w:val="00C607B2"/>
    <w:rsid w:val="00C60D9B"/>
    <w:rsid w:val="00C61048"/>
    <w:rsid w:val="00C61168"/>
    <w:rsid w:val="00C611A5"/>
    <w:rsid w:val="00C61CF7"/>
    <w:rsid w:val="00C61FE9"/>
    <w:rsid w:val="00C620B0"/>
    <w:rsid w:val="00C62685"/>
    <w:rsid w:val="00C62914"/>
    <w:rsid w:val="00C62AF9"/>
    <w:rsid w:val="00C62CA6"/>
    <w:rsid w:val="00C62CBF"/>
    <w:rsid w:val="00C63C52"/>
    <w:rsid w:val="00C64226"/>
    <w:rsid w:val="00C64237"/>
    <w:rsid w:val="00C642E1"/>
    <w:rsid w:val="00C642F2"/>
    <w:rsid w:val="00C64440"/>
    <w:rsid w:val="00C646EA"/>
    <w:rsid w:val="00C6480C"/>
    <w:rsid w:val="00C64EAD"/>
    <w:rsid w:val="00C65365"/>
    <w:rsid w:val="00C65571"/>
    <w:rsid w:val="00C655B9"/>
    <w:rsid w:val="00C659EE"/>
    <w:rsid w:val="00C65CDE"/>
    <w:rsid w:val="00C66475"/>
    <w:rsid w:val="00C668B0"/>
    <w:rsid w:val="00C668D6"/>
    <w:rsid w:val="00C66ADA"/>
    <w:rsid w:val="00C66E90"/>
    <w:rsid w:val="00C67B13"/>
    <w:rsid w:val="00C67B71"/>
    <w:rsid w:val="00C70130"/>
    <w:rsid w:val="00C703A2"/>
    <w:rsid w:val="00C70CD8"/>
    <w:rsid w:val="00C718A9"/>
    <w:rsid w:val="00C71A1A"/>
    <w:rsid w:val="00C71B4C"/>
    <w:rsid w:val="00C71BDD"/>
    <w:rsid w:val="00C71FE1"/>
    <w:rsid w:val="00C72612"/>
    <w:rsid w:val="00C72CD2"/>
    <w:rsid w:val="00C72FCB"/>
    <w:rsid w:val="00C73151"/>
    <w:rsid w:val="00C7317B"/>
    <w:rsid w:val="00C731F1"/>
    <w:rsid w:val="00C73295"/>
    <w:rsid w:val="00C73329"/>
    <w:rsid w:val="00C73477"/>
    <w:rsid w:val="00C73C4A"/>
    <w:rsid w:val="00C73C59"/>
    <w:rsid w:val="00C73CD6"/>
    <w:rsid w:val="00C74063"/>
    <w:rsid w:val="00C752E8"/>
    <w:rsid w:val="00C75346"/>
    <w:rsid w:val="00C755DB"/>
    <w:rsid w:val="00C75639"/>
    <w:rsid w:val="00C767FE"/>
    <w:rsid w:val="00C7702F"/>
    <w:rsid w:val="00C7706C"/>
    <w:rsid w:val="00C774E2"/>
    <w:rsid w:val="00C776B9"/>
    <w:rsid w:val="00C77B19"/>
    <w:rsid w:val="00C77BBA"/>
    <w:rsid w:val="00C77C27"/>
    <w:rsid w:val="00C77CE1"/>
    <w:rsid w:val="00C77D28"/>
    <w:rsid w:val="00C77E6C"/>
    <w:rsid w:val="00C80E45"/>
    <w:rsid w:val="00C828DC"/>
    <w:rsid w:val="00C82CD9"/>
    <w:rsid w:val="00C82E7A"/>
    <w:rsid w:val="00C8321C"/>
    <w:rsid w:val="00C8338D"/>
    <w:rsid w:val="00C83F16"/>
    <w:rsid w:val="00C84047"/>
    <w:rsid w:val="00C840AB"/>
    <w:rsid w:val="00C84220"/>
    <w:rsid w:val="00C8424E"/>
    <w:rsid w:val="00C84580"/>
    <w:rsid w:val="00C84818"/>
    <w:rsid w:val="00C84B65"/>
    <w:rsid w:val="00C84E18"/>
    <w:rsid w:val="00C8569F"/>
    <w:rsid w:val="00C859CD"/>
    <w:rsid w:val="00C85CBB"/>
    <w:rsid w:val="00C85E55"/>
    <w:rsid w:val="00C85F54"/>
    <w:rsid w:val="00C8641A"/>
    <w:rsid w:val="00C864DB"/>
    <w:rsid w:val="00C866ED"/>
    <w:rsid w:val="00C86C5A"/>
    <w:rsid w:val="00C86CE4"/>
    <w:rsid w:val="00C86EA7"/>
    <w:rsid w:val="00C86F95"/>
    <w:rsid w:val="00C86FEA"/>
    <w:rsid w:val="00C8726E"/>
    <w:rsid w:val="00C872E7"/>
    <w:rsid w:val="00C87437"/>
    <w:rsid w:val="00C875E7"/>
    <w:rsid w:val="00C900E2"/>
    <w:rsid w:val="00C905A0"/>
    <w:rsid w:val="00C905E7"/>
    <w:rsid w:val="00C906D1"/>
    <w:rsid w:val="00C90F60"/>
    <w:rsid w:val="00C91111"/>
    <w:rsid w:val="00C91964"/>
    <w:rsid w:val="00C91973"/>
    <w:rsid w:val="00C91F4A"/>
    <w:rsid w:val="00C925CA"/>
    <w:rsid w:val="00C93669"/>
    <w:rsid w:val="00C93751"/>
    <w:rsid w:val="00C93990"/>
    <w:rsid w:val="00C93DC0"/>
    <w:rsid w:val="00C9408A"/>
    <w:rsid w:val="00C94153"/>
    <w:rsid w:val="00C94387"/>
    <w:rsid w:val="00C94A33"/>
    <w:rsid w:val="00C94AB5"/>
    <w:rsid w:val="00C9515E"/>
    <w:rsid w:val="00C9531F"/>
    <w:rsid w:val="00C9543A"/>
    <w:rsid w:val="00C95F5C"/>
    <w:rsid w:val="00C9628E"/>
    <w:rsid w:val="00C965FE"/>
    <w:rsid w:val="00C96695"/>
    <w:rsid w:val="00C96996"/>
    <w:rsid w:val="00C96B0A"/>
    <w:rsid w:val="00C96C3A"/>
    <w:rsid w:val="00C96E0C"/>
    <w:rsid w:val="00C96E6C"/>
    <w:rsid w:val="00C972DD"/>
    <w:rsid w:val="00C977D0"/>
    <w:rsid w:val="00C97974"/>
    <w:rsid w:val="00C97C34"/>
    <w:rsid w:val="00CA0961"/>
    <w:rsid w:val="00CA0B45"/>
    <w:rsid w:val="00CA0C3B"/>
    <w:rsid w:val="00CA1006"/>
    <w:rsid w:val="00CA14B3"/>
    <w:rsid w:val="00CA14E7"/>
    <w:rsid w:val="00CA1B96"/>
    <w:rsid w:val="00CA1BB4"/>
    <w:rsid w:val="00CA1BC3"/>
    <w:rsid w:val="00CA1D57"/>
    <w:rsid w:val="00CA238A"/>
    <w:rsid w:val="00CA268D"/>
    <w:rsid w:val="00CA2877"/>
    <w:rsid w:val="00CA2932"/>
    <w:rsid w:val="00CA2A5B"/>
    <w:rsid w:val="00CA2D56"/>
    <w:rsid w:val="00CA3C96"/>
    <w:rsid w:val="00CA4601"/>
    <w:rsid w:val="00CA4743"/>
    <w:rsid w:val="00CA4CA2"/>
    <w:rsid w:val="00CA4E95"/>
    <w:rsid w:val="00CA4EC2"/>
    <w:rsid w:val="00CA4F04"/>
    <w:rsid w:val="00CA4F75"/>
    <w:rsid w:val="00CA623C"/>
    <w:rsid w:val="00CA63C7"/>
    <w:rsid w:val="00CA6A04"/>
    <w:rsid w:val="00CA77DC"/>
    <w:rsid w:val="00CA78FD"/>
    <w:rsid w:val="00CA790B"/>
    <w:rsid w:val="00CA7D3A"/>
    <w:rsid w:val="00CA7E36"/>
    <w:rsid w:val="00CA7F75"/>
    <w:rsid w:val="00CB038C"/>
    <w:rsid w:val="00CB064F"/>
    <w:rsid w:val="00CB0692"/>
    <w:rsid w:val="00CB08AE"/>
    <w:rsid w:val="00CB098E"/>
    <w:rsid w:val="00CB0AA5"/>
    <w:rsid w:val="00CB1249"/>
    <w:rsid w:val="00CB1AB4"/>
    <w:rsid w:val="00CB1D31"/>
    <w:rsid w:val="00CB1DD0"/>
    <w:rsid w:val="00CB1E5F"/>
    <w:rsid w:val="00CB200B"/>
    <w:rsid w:val="00CB207A"/>
    <w:rsid w:val="00CB20FA"/>
    <w:rsid w:val="00CB268B"/>
    <w:rsid w:val="00CB2A97"/>
    <w:rsid w:val="00CB2D2E"/>
    <w:rsid w:val="00CB2DDC"/>
    <w:rsid w:val="00CB2EE3"/>
    <w:rsid w:val="00CB3478"/>
    <w:rsid w:val="00CB39A5"/>
    <w:rsid w:val="00CB3C46"/>
    <w:rsid w:val="00CB3F32"/>
    <w:rsid w:val="00CB3F9C"/>
    <w:rsid w:val="00CB43AA"/>
    <w:rsid w:val="00CB5314"/>
    <w:rsid w:val="00CB557C"/>
    <w:rsid w:val="00CB58CC"/>
    <w:rsid w:val="00CB59DB"/>
    <w:rsid w:val="00CB5BC0"/>
    <w:rsid w:val="00CB5C0B"/>
    <w:rsid w:val="00CB5EFF"/>
    <w:rsid w:val="00CB6144"/>
    <w:rsid w:val="00CB67DF"/>
    <w:rsid w:val="00CB6817"/>
    <w:rsid w:val="00CB6F0B"/>
    <w:rsid w:val="00CB7E2C"/>
    <w:rsid w:val="00CB7FEA"/>
    <w:rsid w:val="00CC0609"/>
    <w:rsid w:val="00CC0B91"/>
    <w:rsid w:val="00CC101C"/>
    <w:rsid w:val="00CC1403"/>
    <w:rsid w:val="00CC15D1"/>
    <w:rsid w:val="00CC1D11"/>
    <w:rsid w:val="00CC224B"/>
    <w:rsid w:val="00CC257C"/>
    <w:rsid w:val="00CC3147"/>
    <w:rsid w:val="00CC3366"/>
    <w:rsid w:val="00CC384B"/>
    <w:rsid w:val="00CC4180"/>
    <w:rsid w:val="00CC42E0"/>
    <w:rsid w:val="00CC49D1"/>
    <w:rsid w:val="00CC4A5C"/>
    <w:rsid w:val="00CC4FBC"/>
    <w:rsid w:val="00CC50DE"/>
    <w:rsid w:val="00CC5936"/>
    <w:rsid w:val="00CC5B77"/>
    <w:rsid w:val="00CC5BB2"/>
    <w:rsid w:val="00CC5CB7"/>
    <w:rsid w:val="00CC6C38"/>
    <w:rsid w:val="00CC6D74"/>
    <w:rsid w:val="00CC6F95"/>
    <w:rsid w:val="00CC7206"/>
    <w:rsid w:val="00CC7568"/>
    <w:rsid w:val="00CC7701"/>
    <w:rsid w:val="00CC78E0"/>
    <w:rsid w:val="00CD028B"/>
    <w:rsid w:val="00CD0947"/>
    <w:rsid w:val="00CD0AE6"/>
    <w:rsid w:val="00CD0EDA"/>
    <w:rsid w:val="00CD118F"/>
    <w:rsid w:val="00CD1748"/>
    <w:rsid w:val="00CD1C8C"/>
    <w:rsid w:val="00CD2026"/>
    <w:rsid w:val="00CD230A"/>
    <w:rsid w:val="00CD239F"/>
    <w:rsid w:val="00CD267E"/>
    <w:rsid w:val="00CD2883"/>
    <w:rsid w:val="00CD28CF"/>
    <w:rsid w:val="00CD2B4D"/>
    <w:rsid w:val="00CD2DD6"/>
    <w:rsid w:val="00CD2F86"/>
    <w:rsid w:val="00CD32C7"/>
    <w:rsid w:val="00CD3461"/>
    <w:rsid w:val="00CD3544"/>
    <w:rsid w:val="00CD3636"/>
    <w:rsid w:val="00CD3821"/>
    <w:rsid w:val="00CD4016"/>
    <w:rsid w:val="00CD40E4"/>
    <w:rsid w:val="00CD43BE"/>
    <w:rsid w:val="00CD43E0"/>
    <w:rsid w:val="00CD441D"/>
    <w:rsid w:val="00CD4737"/>
    <w:rsid w:val="00CD48BF"/>
    <w:rsid w:val="00CD4A07"/>
    <w:rsid w:val="00CD4DE3"/>
    <w:rsid w:val="00CD534D"/>
    <w:rsid w:val="00CD5A49"/>
    <w:rsid w:val="00CD6032"/>
    <w:rsid w:val="00CD664C"/>
    <w:rsid w:val="00CD6930"/>
    <w:rsid w:val="00CD693D"/>
    <w:rsid w:val="00CD6A06"/>
    <w:rsid w:val="00CD6F54"/>
    <w:rsid w:val="00CD73FD"/>
    <w:rsid w:val="00CD7A1E"/>
    <w:rsid w:val="00CE0233"/>
    <w:rsid w:val="00CE033D"/>
    <w:rsid w:val="00CE08C3"/>
    <w:rsid w:val="00CE14F3"/>
    <w:rsid w:val="00CE1966"/>
    <w:rsid w:val="00CE1DC1"/>
    <w:rsid w:val="00CE1EFA"/>
    <w:rsid w:val="00CE1F16"/>
    <w:rsid w:val="00CE20A0"/>
    <w:rsid w:val="00CE2434"/>
    <w:rsid w:val="00CE293E"/>
    <w:rsid w:val="00CE30DE"/>
    <w:rsid w:val="00CE34F3"/>
    <w:rsid w:val="00CE3727"/>
    <w:rsid w:val="00CE3754"/>
    <w:rsid w:val="00CE380A"/>
    <w:rsid w:val="00CE3983"/>
    <w:rsid w:val="00CE3C9C"/>
    <w:rsid w:val="00CE3E8E"/>
    <w:rsid w:val="00CE463A"/>
    <w:rsid w:val="00CE4AD6"/>
    <w:rsid w:val="00CE5189"/>
    <w:rsid w:val="00CE5286"/>
    <w:rsid w:val="00CE5461"/>
    <w:rsid w:val="00CE5652"/>
    <w:rsid w:val="00CE5947"/>
    <w:rsid w:val="00CE5BF0"/>
    <w:rsid w:val="00CE5DAC"/>
    <w:rsid w:val="00CE61E0"/>
    <w:rsid w:val="00CE67A8"/>
    <w:rsid w:val="00CE68AE"/>
    <w:rsid w:val="00CE74F1"/>
    <w:rsid w:val="00CE7EB4"/>
    <w:rsid w:val="00CF02D3"/>
    <w:rsid w:val="00CF0A8C"/>
    <w:rsid w:val="00CF0B6C"/>
    <w:rsid w:val="00CF10FF"/>
    <w:rsid w:val="00CF116D"/>
    <w:rsid w:val="00CF1264"/>
    <w:rsid w:val="00CF1936"/>
    <w:rsid w:val="00CF217E"/>
    <w:rsid w:val="00CF2A5E"/>
    <w:rsid w:val="00CF2A6A"/>
    <w:rsid w:val="00CF2A88"/>
    <w:rsid w:val="00CF2A9A"/>
    <w:rsid w:val="00CF2E9D"/>
    <w:rsid w:val="00CF30C0"/>
    <w:rsid w:val="00CF315C"/>
    <w:rsid w:val="00CF3364"/>
    <w:rsid w:val="00CF353D"/>
    <w:rsid w:val="00CF3A89"/>
    <w:rsid w:val="00CF429C"/>
    <w:rsid w:val="00CF43AC"/>
    <w:rsid w:val="00CF4AD6"/>
    <w:rsid w:val="00CF4C35"/>
    <w:rsid w:val="00CF5274"/>
    <w:rsid w:val="00CF59B4"/>
    <w:rsid w:val="00CF5FD3"/>
    <w:rsid w:val="00CF60EC"/>
    <w:rsid w:val="00CF6180"/>
    <w:rsid w:val="00CF670F"/>
    <w:rsid w:val="00CF68C1"/>
    <w:rsid w:val="00CF6B12"/>
    <w:rsid w:val="00CF6C44"/>
    <w:rsid w:val="00CF6E7B"/>
    <w:rsid w:val="00CF7027"/>
    <w:rsid w:val="00CF70F0"/>
    <w:rsid w:val="00CF72A2"/>
    <w:rsid w:val="00CF72AF"/>
    <w:rsid w:val="00CF766A"/>
    <w:rsid w:val="00CF7870"/>
    <w:rsid w:val="00CF7BB2"/>
    <w:rsid w:val="00CF7DE4"/>
    <w:rsid w:val="00CF7ECC"/>
    <w:rsid w:val="00D0039E"/>
    <w:rsid w:val="00D00A8B"/>
    <w:rsid w:val="00D00CC3"/>
    <w:rsid w:val="00D010E3"/>
    <w:rsid w:val="00D0170E"/>
    <w:rsid w:val="00D01870"/>
    <w:rsid w:val="00D01D8A"/>
    <w:rsid w:val="00D020CF"/>
    <w:rsid w:val="00D027CC"/>
    <w:rsid w:val="00D02984"/>
    <w:rsid w:val="00D02BE0"/>
    <w:rsid w:val="00D02F4A"/>
    <w:rsid w:val="00D046A4"/>
    <w:rsid w:val="00D04757"/>
    <w:rsid w:val="00D048A9"/>
    <w:rsid w:val="00D04C32"/>
    <w:rsid w:val="00D059D8"/>
    <w:rsid w:val="00D05F0E"/>
    <w:rsid w:val="00D06E56"/>
    <w:rsid w:val="00D06EAE"/>
    <w:rsid w:val="00D07144"/>
    <w:rsid w:val="00D071EF"/>
    <w:rsid w:val="00D075EC"/>
    <w:rsid w:val="00D07F90"/>
    <w:rsid w:val="00D1080F"/>
    <w:rsid w:val="00D108E1"/>
    <w:rsid w:val="00D10D27"/>
    <w:rsid w:val="00D10E3A"/>
    <w:rsid w:val="00D11FB8"/>
    <w:rsid w:val="00D12505"/>
    <w:rsid w:val="00D126F1"/>
    <w:rsid w:val="00D12956"/>
    <w:rsid w:val="00D12D11"/>
    <w:rsid w:val="00D1308E"/>
    <w:rsid w:val="00D1326A"/>
    <w:rsid w:val="00D13B15"/>
    <w:rsid w:val="00D14109"/>
    <w:rsid w:val="00D14565"/>
    <w:rsid w:val="00D145B9"/>
    <w:rsid w:val="00D145EB"/>
    <w:rsid w:val="00D14A88"/>
    <w:rsid w:val="00D14B09"/>
    <w:rsid w:val="00D14B83"/>
    <w:rsid w:val="00D14BB2"/>
    <w:rsid w:val="00D14F7B"/>
    <w:rsid w:val="00D152FA"/>
    <w:rsid w:val="00D158C9"/>
    <w:rsid w:val="00D161E9"/>
    <w:rsid w:val="00D164E2"/>
    <w:rsid w:val="00D16523"/>
    <w:rsid w:val="00D165F3"/>
    <w:rsid w:val="00D16D34"/>
    <w:rsid w:val="00D16F1F"/>
    <w:rsid w:val="00D16F65"/>
    <w:rsid w:val="00D170A7"/>
    <w:rsid w:val="00D176AF"/>
    <w:rsid w:val="00D1792C"/>
    <w:rsid w:val="00D17C6A"/>
    <w:rsid w:val="00D17F9D"/>
    <w:rsid w:val="00D2036D"/>
    <w:rsid w:val="00D20445"/>
    <w:rsid w:val="00D2063B"/>
    <w:rsid w:val="00D20F15"/>
    <w:rsid w:val="00D21414"/>
    <w:rsid w:val="00D215CD"/>
    <w:rsid w:val="00D217F8"/>
    <w:rsid w:val="00D21BC1"/>
    <w:rsid w:val="00D225F3"/>
    <w:rsid w:val="00D2298E"/>
    <w:rsid w:val="00D22CD8"/>
    <w:rsid w:val="00D2312D"/>
    <w:rsid w:val="00D234DB"/>
    <w:rsid w:val="00D23AAF"/>
    <w:rsid w:val="00D24041"/>
    <w:rsid w:val="00D2475B"/>
    <w:rsid w:val="00D24B6B"/>
    <w:rsid w:val="00D2506B"/>
    <w:rsid w:val="00D25994"/>
    <w:rsid w:val="00D25A66"/>
    <w:rsid w:val="00D26202"/>
    <w:rsid w:val="00D26311"/>
    <w:rsid w:val="00D2651D"/>
    <w:rsid w:val="00D27369"/>
    <w:rsid w:val="00D2756B"/>
    <w:rsid w:val="00D30468"/>
    <w:rsid w:val="00D3163C"/>
    <w:rsid w:val="00D31B0C"/>
    <w:rsid w:val="00D31F91"/>
    <w:rsid w:val="00D32736"/>
    <w:rsid w:val="00D33078"/>
    <w:rsid w:val="00D33179"/>
    <w:rsid w:val="00D33B8B"/>
    <w:rsid w:val="00D34139"/>
    <w:rsid w:val="00D34543"/>
    <w:rsid w:val="00D3513F"/>
    <w:rsid w:val="00D361B1"/>
    <w:rsid w:val="00D36483"/>
    <w:rsid w:val="00D36934"/>
    <w:rsid w:val="00D36AC1"/>
    <w:rsid w:val="00D36E93"/>
    <w:rsid w:val="00D37150"/>
    <w:rsid w:val="00D37346"/>
    <w:rsid w:val="00D37398"/>
    <w:rsid w:val="00D37513"/>
    <w:rsid w:val="00D3754B"/>
    <w:rsid w:val="00D376C1"/>
    <w:rsid w:val="00D37754"/>
    <w:rsid w:val="00D4025A"/>
    <w:rsid w:val="00D41102"/>
    <w:rsid w:val="00D4147B"/>
    <w:rsid w:val="00D41A95"/>
    <w:rsid w:val="00D41B4A"/>
    <w:rsid w:val="00D41D6F"/>
    <w:rsid w:val="00D41DD7"/>
    <w:rsid w:val="00D4314A"/>
    <w:rsid w:val="00D43560"/>
    <w:rsid w:val="00D435BB"/>
    <w:rsid w:val="00D43A37"/>
    <w:rsid w:val="00D43ABB"/>
    <w:rsid w:val="00D44088"/>
    <w:rsid w:val="00D44181"/>
    <w:rsid w:val="00D4449A"/>
    <w:rsid w:val="00D44B8F"/>
    <w:rsid w:val="00D44C05"/>
    <w:rsid w:val="00D44E8D"/>
    <w:rsid w:val="00D453C8"/>
    <w:rsid w:val="00D46030"/>
    <w:rsid w:val="00D4622E"/>
    <w:rsid w:val="00D462AD"/>
    <w:rsid w:val="00D46690"/>
    <w:rsid w:val="00D46F63"/>
    <w:rsid w:val="00D46F7D"/>
    <w:rsid w:val="00D471FC"/>
    <w:rsid w:val="00D472E8"/>
    <w:rsid w:val="00D4738D"/>
    <w:rsid w:val="00D4740A"/>
    <w:rsid w:val="00D47688"/>
    <w:rsid w:val="00D47D3F"/>
    <w:rsid w:val="00D50429"/>
    <w:rsid w:val="00D5123F"/>
    <w:rsid w:val="00D5177E"/>
    <w:rsid w:val="00D51B58"/>
    <w:rsid w:val="00D52282"/>
    <w:rsid w:val="00D52C51"/>
    <w:rsid w:val="00D5345C"/>
    <w:rsid w:val="00D53966"/>
    <w:rsid w:val="00D53AAC"/>
    <w:rsid w:val="00D542B0"/>
    <w:rsid w:val="00D542C0"/>
    <w:rsid w:val="00D546C9"/>
    <w:rsid w:val="00D54FD9"/>
    <w:rsid w:val="00D551D6"/>
    <w:rsid w:val="00D55508"/>
    <w:rsid w:val="00D5621F"/>
    <w:rsid w:val="00D5635F"/>
    <w:rsid w:val="00D56CFD"/>
    <w:rsid w:val="00D56F17"/>
    <w:rsid w:val="00D5723F"/>
    <w:rsid w:val="00D574CE"/>
    <w:rsid w:val="00D579EA"/>
    <w:rsid w:val="00D57B02"/>
    <w:rsid w:val="00D6007F"/>
    <w:rsid w:val="00D60086"/>
    <w:rsid w:val="00D602DC"/>
    <w:rsid w:val="00D6083A"/>
    <w:rsid w:val="00D60B5C"/>
    <w:rsid w:val="00D60C14"/>
    <w:rsid w:val="00D60CBE"/>
    <w:rsid w:val="00D60CC1"/>
    <w:rsid w:val="00D61447"/>
    <w:rsid w:val="00D61B46"/>
    <w:rsid w:val="00D61E46"/>
    <w:rsid w:val="00D61FA4"/>
    <w:rsid w:val="00D6235D"/>
    <w:rsid w:val="00D628D1"/>
    <w:rsid w:val="00D62BA3"/>
    <w:rsid w:val="00D62C83"/>
    <w:rsid w:val="00D62DD3"/>
    <w:rsid w:val="00D6346F"/>
    <w:rsid w:val="00D63719"/>
    <w:rsid w:val="00D6394E"/>
    <w:rsid w:val="00D63FD1"/>
    <w:rsid w:val="00D64234"/>
    <w:rsid w:val="00D649CC"/>
    <w:rsid w:val="00D649D8"/>
    <w:rsid w:val="00D64E89"/>
    <w:rsid w:val="00D64F13"/>
    <w:rsid w:val="00D64F39"/>
    <w:rsid w:val="00D650AD"/>
    <w:rsid w:val="00D651F9"/>
    <w:rsid w:val="00D65767"/>
    <w:rsid w:val="00D658C2"/>
    <w:rsid w:val="00D65B8E"/>
    <w:rsid w:val="00D65DE7"/>
    <w:rsid w:val="00D6622B"/>
    <w:rsid w:val="00D6633B"/>
    <w:rsid w:val="00D67127"/>
    <w:rsid w:val="00D67462"/>
    <w:rsid w:val="00D67598"/>
    <w:rsid w:val="00D67E87"/>
    <w:rsid w:val="00D70CB3"/>
    <w:rsid w:val="00D71AD3"/>
    <w:rsid w:val="00D71C84"/>
    <w:rsid w:val="00D724C0"/>
    <w:rsid w:val="00D7276E"/>
    <w:rsid w:val="00D727D1"/>
    <w:rsid w:val="00D72B0A"/>
    <w:rsid w:val="00D72EA9"/>
    <w:rsid w:val="00D7317E"/>
    <w:rsid w:val="00D737DF"/>
    <w:rsid w:val="00D7388A"/>
    <w:rsid w:val="00D74CCF"/>
    <w:rsid w:val="00D7559F"/>
    <w:rsid w:val="00D7578E"/>
    <w:rsid w:val="00D75996"/>
    <w:rsid w:val="00D759AE"/>
    <w:rsid w:val="00D75C8F"/>
    <w:rsid w:val="00D76543"/>
    <w:rsid w:val="00D76CD3"/>
    <w:rsid w:val="00D76F1E"/>
    <w:rsid w:val="00D77561"/>
    <w:rsid w:val="00D77699"/>
    <w:rsid w:val="00D77BC3"/>
    <w:rsid w:val="00D77EB1"/>
    <w:rsid w:val="00D77FA8"/>
    <w:rsid w:val="00D8025D"/>
    <w:rsid w:val="00D807F3"/>
    <w:rsid w:val="00D80835"/>
    <w:rsid w:val="00D80C6F"/>
    <w:rsid w:val="00D80F96"/>
    <w:rsid w:val="00D81120"/>
    <w:rsid w:val="00D813FE"/>
    <w:rsid w:val="00D8176F"/>
    <w:rsid w:val="00D817FD"/>
    <w:rsid w:val="00D81C11"/>
    <w:rsid w:val="00D82151"/>
    <w:rsid w:val="00D82809"/>
    <w:rsid w:val="00D82FF5"/>
    <w:rsid w:val="00D83459"/>
    <w:rsid w:val="00D837A4"/>
    <w:rsid w:val="00D83BC1"/>
    <w:rsid w:val="00D83D69"/>
    <w:rsid w:val="00D83E20"/>
    <w:rsid w:val="00D848BB"/>
    <w:rsid w:val="00D849C8"/>
    <w:rsid w:val="00D84DC9"/>
    <w:rsid w:val="00D84E7A"/>
    <w:rsid w:val="00D852AF"/>
    <w:rsid w:val="00D86071"/>
    <w:rsid w:val="00D8619F"/>
    <w:rsid w:val="00D866C0"/>
    <w:rsid w:val="00D873A7"/>
    <w:rsid w:val="00D87A75"/>
    <w:rsid w:val="00D87C19"/>
    <w:rsid w:val="00D87F02"/>
    <w:rsid w:val="00D9008A"/>
    <w:rsid w:val="00D90FBC"/>
    <w:rsid w:val="00D9109C"/>
    <w:rsid w:val="00D92371"/>
    <w:rsid w:val="00D9259B"/>
    <w:rsid w:val="00D926EF"/>
    <w:rsid w:val="00D92B6E"/>
    <w:rsid w:val="00D931C8"/>
    <w:rsid w:val="00D938D5"/>
    <w:rsid w:val="00D93E7D"/>
    <w:rsid w:val="00D93F48"/>
    <w:rsid w:val="00D93FDE"/>
    <w:rsid w:val="00D93FEC"/>
    <w:rsid w:val="00D93FFB"/>
    <w:rsid w:val="00D9424B"/>
    <w:rsid w:val="00D9438D"/>
    <w:rsid w:val="00D94AA5"/>
    <w:rsid w:val="00D95A1B"/>
    <w:rsid w:val="00D96104"/>
    <w:rsid w:val="00D9645C"/>
    <w:rsid w:val="00D96B56"/>
    <w:rsid w:val="00D9704C"/>
    <w:rsid w:val="00D972F2"/>
    <w:rsid w:val="00D973BD"/>
    <w:rsid w:val="00D977D8"/>
    <w:rsid w:val="00D97A16"/>
    <w:rsid w:val="00DA043A"/>
    <w:rsid w:val="00DA09B4"/>
    <w:rsid w:val="00DA0A8A"/>
    <w:rsid w:val="00DA11D0"/>
    <w:rsid w:val="00DA1308"/>
    <w:rsid w:val="00DA1467"/>
    <w:rsid w:val="00DA15CA"/>
    <w:rsid w:val="00DA1BC1"/>
    <w:rsid w:val="00DA1F05"/>
    <w:rsid w:val="00DA2014"/>
    <w:rsid w:val="00DA2124"/>
    <w:rsid w:val="00DA21AA"/>
    <w:rsid w:val="00DA2326"/>
    <w:rsid w:val="00DA26B8"/>
    <w:rsid w:val="00DA2712"/>
    <w:rsid w:val="00DA3061"/>
    <w:rsid w:val="00DA39A2"/>
    <w:rsid w:val="00DA3F30"/>
    <w:rsid w:val="00DA3F7B"/>
    <w:rsid w:val="00DA4260"/>
    <w:rsid w:val="00DA470B"/>
    <w:rsid w:val="00DA4A1C"/>
    <w:rsid w:val="00DA5226"/>
    <w:rsid w:val="00DA5294"/>
    <w:rsid w:val="00DA5392"/>
    <w:rsid w:val="00DA5B94"/>
    <w:rsid w:val="00DA5CCF"/>
    <w:rsid w:val="00DA5EAC"/>
    <w:rsid w:val="00DA5FA7"/>
    <w:rsid w:val="00DA60FF"/>
    <w:rsid w:val="00DA631D"/>
    <w:rsid w:val="00DA688A"/>
    <w:rsid w:val="00DA6BFB"/>
    <w:rsid w:val="00DA7054"/>
    <w:rsid w:val="00DA726D"/>
    <w:rsid w:val="00DA756B"/>
    <w:rsid w:val="00DA77DB"/>
    <w:rsid w:val="00DA7E18"/>
    <w:rsid w:val="00DB061F"/>
    <w:rsid w:val="00DB074A"/>
    <w:rsid w:val="00DB07B2"/>
    <w:rsid w:val="00DB08DE"/>
    <w:rsid w:val="00DB0BC9"/>
    <w:rsid w:val="00DB1021"/>
    <w:rsid w:val="00DB2259"/>
    <w:rsid w:val="00DB248F"/>
    <w:rsid w:val="00DB2575"/>
    <w:rsid w:val="00DB456A"/>
    <w:rsid w:val="00DB4915"/>
    <w:rsid w:val="00DB49E1"/>
    <w:rsid w:val="00DB4DAE"/>
    <w:rsid w:val="00DB50EA"/>
    <w:rsid w:val="00DB5555"/>
    <w:rsid w:val="00DB5659"/>
    <w:rsid w:val="00DB5712"/>
    <w:rsid w:val="00DB5AE9"/>
    <w:rsid w:val="00DB5EDA"/>
    <w:rsid w:val="00DB5EEE"/>
    <w:rsid w:val="00DB67EB"/>
    <w:rsid w:val="00DB6A64"/>
    <w:rsid w:val="00DB6B9F"/>
    <w:rsid w:val="00DB6CA8"/>
    <w:rsid w:val="00DB6EFD"/>
    <w:rsid w:val="00DB71B6"/>
    <w:rsid w:val="00DB7551"/>
    <w:rsid w:val="00DB7BB6"/>
    <w:rsid w:val="00DC040A"/>
    <w:rsid w:val="00DC0DA3"/>
    <w:rsid w:val="00DC17C1"/>
    <w:rsid w:val="00DC19D6"/>
    <w:rsid w:val="00DC1D25"/>
    <w:rsid w:val="00DC1FEB"/>
    <w:rsid w:val="00DC21D8"/>
    <w:rsid w:val="00DC273D"/>
    <w:rsid w:val="00DC2953"/>
    <w:rsid w:val="00DC2A49"/>
    <w:rsid w:val="00DC309A"/>
    <w:rsid w:val="00DC3BE7"/>
    <w:rsid w:val="00DC4346"/>
    <w:rsid w:val="00DC459B"/>
    <w:rsid w:val="00DC4B82"/>
    <w:rsid w:val="00DC5511"/>
    <w:rsid w:val="00DC56C3"/>
    <w:rsid w:val="00DC5D2A"/>
    <w:rsid w:val="00DC5E35"/>
    <w:rsid w:val="00DC6627"/>
    <w:rsid w:val="00DC7949"/>
    <w:rsid w:val="00DC7FEF"/>
    <w:rsid w:val="00DD052A"/>
    <w:rsid w:val="00DD0963"/>
    <w:rsid w:val="00DD0BBF"/>
    <w:rsid w:val="00DD0E03"/>
    <w:rsid w:val="00DD13DD"/>
    <w:rsid w:val="00DD15CF"/>
    <w:rsid w:val="00DD1746"/>
    <w:rsid w:val="00DD1FCF"/>
    <w:rsid w:val="00DD2DBD"/>
    <w:rsid w:val="00DD38A2"/>
    <w:rsid w:val="00DD3B58"/>
    <w:rsid w:val="00DD3D3A"/>
    <w:rsid w:val="00DD4E77"/>
    <w:rsid w:val="00DD5769"/>
    <w:rsid w:val="00DD5ABA"/>
    <w:rsid w:val="00DD5BFA"/>
    <w:rsid w:val="00DD69DA"/>
    <w:rsid w:val="00DD7367"/>
    <w:rsid w:val="00DD74AC"/>
    <w:rsid w:val="00DD75F4"/>
    <w:rsid w:val="00DD7664"/>
    <w:rsid w:val="00DD7913"/>
    <w:rsid w:val="00DE0043"/>
    <w:rsid w:val="00DE020C"/>
    <w:rsid w:val="00DE0374"/>
    <w:rsid w:val="00DE047E"/>
    <w:rsid w:val="00DE053F"/>
    <w:rsid w:val="00DE05D4"/>
    <w:rsid w:val="00DE0A03"/>
    <w:rsid w:val="00DE1E7E"/>
    <w:rsid w:val="00DE2100"/>
    <w:rsid w:val="00DE219B"/>
    <w:rsid w:val="00DE2215"/>
    <w:rsid w:val="00DE25FB"/>
    <w:rsid w:val="00DE2CD0"/>
    <w:rsid w:val="00DE34B0"/>
    <w:rsid w:val="00DE4431"/>
    <w:rsid w:val="00DE4724"/>
    <w:rsid w:val="00DE47AA"/>
    <w:rsid w:val="00DE4823"/>
    <w:rsid w:val="00DE50F6"/>
    <w:rsid w:val="00DE52F4"/>
    <w:rsid w:val="00DE55CE"/>
    <w:rsid w:val="00DE5867"/>
    <w:rsid w:val="00DE5A2B"/>
    <w:rsid w:val="00DE68FE"/>
    <w:rsid w:val="00DE71CF"/>
    <w:rsid w:val="00DE7339"/>
    <w:rsid w:val="00DE7642"/>
    <w:rsid w:val="00DE76DC"/>
    <w:rsid w:val="00DF00D3"/>
    <w:rsid w:val="00DF0D5D"/>
    <w:rsid w:val="00DF0FDE"/>
    <w:rsid w:val="00DF1220"/>
    <w:rsid w:val="00DF1B36"/>
    <w:rsid w:val="00DF1F38"/>
    <w:rsid w:val="00DF1FA9"/>
    <w:rsid w:val="00DF204A"/>
    <w:rsid w:val="00DF2D0F"/>
    <w:rsid w:val="00DF2F7D"/>
    <w:rsid w:val="00DF3FB4"/>
    <w:rsid w:val="00DF4356"/>
    <w:rsid w:val="00DF4781"/>
    <w:rsid w:val="00DF4D51"/>
    <w:rsid w:val="00DF4DCF"/>
    <w:rsid w:val="00DF4F6E"/>
    <w:rsid w:val="00DF4FAC"/>
    <w:rsid w:val="00DF5420"/>
    <w:rsid w:val="00DF59C1"/>
    <w:rsid w:val="00DF5EA2"/>
    <w:rsid w:val="00DF5FAA"/>
    <w:rsid w:val="00DF6B59"/>
    <w:rsid w:val="00DF7118"/>
    <w:rsid w:val="00DF76D2"/>
    <w:rsid w:val="00E000E2"/>
    <w:rsid w:val="00E00203"/>
    <w:rsid w:val="00E006FD"/>
    <w:rsid w:val="00E009D6"/>
    <w:rsid w:val="00E00A06"/>
    <w:rsid w:val="00E00D40"/>
    <w:rsid w:val="00E014D1"/>
    <w:rsid w:val="00E01ADE"/>
    <w:rsid w:val="00E01D58"/>
    <w:rsid w:val="00E01F23"/>
    <w:rsid w:val="00E02411"/>
    <w:rsid w:val="00E02AE8"/>
    <w:rsid w:val="00E0325B"/>
    <w:rsid w:val="00E04C97"/>
    <w:rsid w:val="00E04D42"/>
    <w:rsid w:val="00E04E0C"/>
    <w:rsid w:val="00E06472"/>
    <w:rsid w:val="00E06476"/>
    <w:rsid w:val="00E07291"/>
    <w:rsid w:val="00E0760D"/>
    <w:rsid w:val="00E079F3"/>
    <w:rsid w:val="00E07C79"/>
    <w:rsid w:val="00E07E3A"/>
    <w:rsid w:val="00E1019A"/>
    <w:rsid w:val="00E101EE"/>
    <w:rsid w:val="00E112A2"/>
    <w:rsid w:val="00E11393"/>
    <w:rsid w:val="00E11BB6"/>
    <w:rsid w:val="00E12321"/>
    <w:rsid w:val="00E1240C"/>
    <w:rsid w:val="00E12827"/>
    <w:rsid w:val="00E12EEB"/>
    <w:rsid w:val="00E12FF8"/>
    <w:rsid w:val="00E14266"/>
    <w:rsid w:val="00E1491D"/>
    <w:rsid w:val="00E14964"/>
    <w:rsid w:val="00E14A32"/>
    <w:rsid w:val="00E15081"/>
    <w:rsid w:val="00E15DA4"/>
    <w:rsid w:val="00E161DC"/>
    <w:rsid w:val="00E1660C"/>
    <w:rsid w:val="00E167B7"/>
    <w:rsid w:val="00E16AF6"/>
    <w:rsid w:val="00E16FE5"/>
    <w:rsid w:val="00E1749E"/>
    <w:rsid w:val="00E17685"/>
    <w:rsid w:val="00E17889"/>
    <w:rsid w:val="00E1791B"/>
    <w:rsid w:val="00E17DB4"/>
    <w:rsid w:val="00E204A5"/>
    <w:rsid w:val="00E20773"/>
    <w:rsid w:val="00E20CDF"/>
    <w:rsid w:val="00E2196D"/>
    <w:rsid w:val="00E219A3"/>
    <w:rsid w:val="00E21A9C"/>
    <w:rsid w:val="00E21C9C"/>
    <w:rsid w:val="00E225AC"/>
    <w:rsid w:val="00E2276F"/>
    <w:rsid w:val="00E227A1"/>
    <w:rsid w:val="00E22B0D"/>
    <w:rsid w:val="00E233B6"/>
    <w:rsid w:val="00E237D0"/>
    <w:rsid w:val="00E24064"/>
    <w:rsid w:val="00E2472B"/>
    <w:rsid w:val="00E2473B"/>
    <w:rsid w:val="00E24A5C"/>
    <w:rsid w:val="00E24D26"/>
    <w:rsid w:val="00E253C8"/>
    <w:rsid w:val="00E25D8C"/>
    <w:rsid w:val="00E26873"/>
    <w:rsid w:val="00E26CF4"/>
    <w:rsid w:val="00E26E99"/>
    <w:rsid w:val="00E272A3"/>
    <w:rsid w:val="00E27652"/>
    <w:rsid w:val="00E276A3"/>
    <w:rsid w:val="00E279C0"/>
    <w:rsid w:val="00E279C1"/>
    <w:rsid w:val="00E27D49"/>
    <w:rsid w:val="00E27EB9"/>
    <w:rsid w:val="00E300B4"/>
    <w:rsid w:val="00E301B5"/>
    <w:rsid w:val="00E3054E"/>
    <w:rsid w:val="00E30664"/>
    <w:rsid w:val="00E30C06"/>
    <w:rsid w:val="00E3125D"/>
    <w:rsid w:val="00E31AA7"/>
    <w:rsid w:val="00E31ABA"/>
    <w:rsid w:val="00E3203E"/>
    <w:rsid w:val="00E321A2"/>
    <w:rsid w:val="00E321CE"/>
    <w:rsid w:val="00E32517"/>
    <w:rsid w:val="00E32769"/>
    <w:rsid w:val="00E335B4"/>
    <w:rsid w:val="00E339D3"/>
    <w:rsid w:val="00E33E5F"/>
    <w:rsid w:val="00E34F21"/>
    <w:rsid w:val="00E35582"/>
    <w:rsid w:val="00E35F7C"/>
    <w:rsid w:val="00E361C3"/>
    <w:rsid w:val="00E36601"/>
    <w:rsid w:val="00E3681E"/>
    <w:rsid w:val="00E371E6"/>
    <w:rsid w:val="00E4046D"/>
    <w:rsid w:val="00E40668"/>
    <w:rsid w:val="00E40775"/>
    <w:rsid w:val="00E40B81"/>
    <w:rsid w:val="00E41106"/>
    <w:rsid w:val="00E4160B"/>
    <w:rsid w:val="00E418CC"/>
    <w:rsid w:val="00E41AAF"/>
    <w:rsid w:val="00E41E19"/>
    <w:rsid w:val="00E427BE"/>
    <w:rsid w:val="00E42A2E"/>
    <w:rsid w:val="00E42CC8"/>
    <w:rsid w:val="00E430D9"/>
    <w:rsid w:val="00E43EDB"/>
    <w:rsid w:val="00E45511"/>
    <w:rsid w:val="00E456FA"/>
    <w:rsid w:val="00E45AF9"/>
    <w:rsid w:val="00E45BD3"/>
    <w:rsid w:val="00E4652E"/>
    <w:rsid w:val="00E46582"/>
    <w:rsid w:val="00E465B8"/>
    <w:rsid w:val="00E4681F"/>
    <w:rsid w:val="00E46B72"/>
    <w:rsid w:val="00E47760"/>
    <w:rsid w:val="00E47A3B"/>
    <w:rsid w:val="00E47CF1"/>
    <w:rsid w:val="00E47F68"/>
    <w:rsid w:val="00E50915"/>
    <w:rsid w:val="00E50AFF"/>
    <w:rsid w:val="00E50E8A"/>
    <w:rsid w:val="00E5172E"/>
    <w:rsid w:val="00E51757"/>
    <w:rsid w:val="00E51C00"/>
    <w:rsid w:val="00E52024"/>
    <w:rsid w:val="00E5207E"/>
    <w:rsid w:val="00E5227E"/>
    <w:rsid w:val="00E5250F"/>
    <w:rsid w:val="00E52792"/>
    <w:rsid w:val="00E52873"/>
    <w:rsid w:val="00E52FA3"/>
    <w:rsid w:val="00E536B7"/>
    <w:rsid w:val="00E53813"/>
    <w:rsid w:val="00E53F20"/>
    <w:rsid w:val="00E543B4"/>
    <w:rsid w:val="00E54700"/>
    <w:rsid w:val="00E54B00"/>
    <w:rsid w:val="00E54B55"/>
    <w:rsid w:val="00E54C2F"/>
    <w:rsid w:val="00E54E4E"/>
    <w:rsid w:val="00E55290"/>
    <w:rsid w:val="00E5556A"/>
    <w:rsid w:val="00E55E5C"/>
    <w:rsid w:val="00E5613E"/>
    <w:rsid w:val="00E565DC"/>
    <w:rsid w:val="00E56A88"/>
    <w:rsid w:val="00E56EB0"/>
    <w:rsid w:val="00E57311"/>
    <w:rsid w:val="00E57698"/>
    <w:rsid w:val="00E57761"/>
    <w:rsid w:val="00E608FD"/>
    <w:rsid w:val="00E6158A"/>
    <w:rsid w:val="00E616A9"/>
    <w:rsid w:val="00E61C0F"/>
    <w:rsid w:val="00E61D99"/>
    <w:rsid w:val="00E61EB2"/>
    <w:rsid w:val="00E620AD"/>
    <w:rsid w:val="00E627E0"/>
    <w:rsid w:val="00E62BE6"/>
    <w:rsid w:val="00E6304A"/>
    <w:rsid w:val="00E63066"/>
    <w:rsid w:val="00E631A7"/>
    <w:rsid w:val="00E6323B"/>
    <w:rsid w:val="00E646D0"/>
    <w:rsid w:val="00E649AF"/>
    <w:rsid w:val="00E649FB"/>
    <w:rsid w:val="00E64A6E"/>
    <w:rsid w:val="00E64B22"/>
    <w:rsid w:val="00E64B2A"/>
    <w:rsid w:val="00E64C63"/>
    <w:rsid w:val="00E6577C"/>
    <w:rsid w:val="00E661C2"/>
    <w:rsid w:val="00E66651"/>
    <w:rsid w:val="00E6668A"/>
    <w:rsid w:val="00E667A4"/>
    <w:rsid w:val="00E670BD"/>
    <w:rsid w:val="00E678A7"/>
    <w:rsid w:val="00E67C22"/>
    <w:rsid w:val="00E67DB3"/>
    <w:rsid w:val="00E7083A"/>
    <w:rsid w:val="00E70F41"/>
    <w:rsid w:val="00E71638"/>
    <w:rsid w:val="00E71FF0"/>
    <w:rsid w:val="00E72468"/>
    <w:rsid w:val="00E72479"/>
    <w:rsid w:val="00E7266D"/>
    <w:rsid w:val="00E72C77"/>
    <w:rsid w:val="00E72F3E"/>
    <w:rsid w:val="00E735E0"/>
    <w:rsid w:val="00E73868"/>
    <w:rsid w:val="00E739CC"/>
    <w:rsid w:val="00E73D14"/>
    <w:rsid w:val="00E73D56"/>
    <w:rsid w:val="00E753EC"/>
    <w:rsid w:val="00E75A7C"/>
    <w:rsid w:val="00E7638E"/>
    <w:rsid w:val="00E765F1"/>
    <w:rsid w:val="00E76892"/>
    <w:rsid w:val="00E76D64"/>
    <w:rsid w:val="00E76DC4"/>
    <w:rsid w:val="00E772C5"/>
    <w:rsid w:val="00E7730A"/>
    <w:rsid w:val="00E77311"/>
    <w:rsid w:val="00E80038"/>
    <w:rsid w:val="00E802FC"/>
    <w:rsid w:val="00E81441"/>
    <w:rsid w:val="00E81839"/>
    <w:rsid w:val="00E81A18"/>
    <w:rsid w:val="00E81CD0"/>
    <w:rsid w:val="00E82718"/>
    <w:rsid w:val="00E82E87"/>
    <w:rsid w:val="00E82F63"/>
    <w:rsid w:val="00E82FA4"/>
    <w:rsid w:val="00E83011"/>
    <w:rsid w:val="00E832F1"/>
    <w:rsid w:val="00E83A81"/>
    <w:rsid w:val="00E83E32"/>
    <w:rsid w:val="00E84409"/>
    <w:rsid w:val="00E846BE"/>
    <w:rsid w:val="00E84D99"/>
    <w:rsid w:val="00E85848"/>
    <w:rsid w:val="00E85B46"/>
    <w:rsid w:val="00E85BA4"/>
    <w:rsid w:val="00E85FC8"/>
    <w:rsid w:val="00E86145"/>
    <w:rsid w:val="00E86253"/>
    <w:rsid w:val="00E86693"/>
    <w:rsid w:val="00E86D20"/>
    <w:rsid w:val="00E86D6D"/>
    <w:rsid w:val="00E86DA2"/>
    <w:rsid w:val="00E86E41"/>
    <w:rsid w:val="00E8777A"/>
    <w:rsid w:val="00E878AF"/>
    <w:rsid w:val="00E87AB4"/>
    <w:rsid w:val="00E87B30"/>
    <w:rsid w:val="00E87C25"/>
    <w:rsid w:val="00E87FDD"/>
    <w:rsid w:val="00E9004F"/>
    <w:rsid w:val="00E9055E"/>
    <w:rsid w:val="00E909A7"/>
    <w:rsid w:val="00E9217A"/>
    <w:rsid w:val="00E9217E"/>
    <w:rsid w:val="00E93562"/>
    <w:rsid w:val="00E93973"/>
    <w:rsid w:val="00E940E7"/>
    <w:rsid w:val="00E9447A"/>
    <w:rsid w:val="00E946AD"/>
    <w:rsid w:val="00E946B3"/>
    <w:rsid w:val="00E95255"/>
    <w:rsid w:val="00E95F4D"/>
    <w:rsid w:val="00E962AC"/>
    <w:rsid w:val="00E964AE"/>
    <w:rsid w:val="00E96781"/>
    <w:rsid w:val="00E9679A"/>
    <w:rsid w:val="00E96A78"/>
    <w:rsid w:val="00E96B98"/>
    <w:rsid w:val="00E96DB5"/>
    <w:rsid w:val="00E97DD1"/>
    <w:rsid w:val="00EA06D6"/>
    <w:rsid w:val="00EA0BDE"/>
    <w:rsid w:val="00EA1BE1"/>
    <w:rsid w:val="00EA261E"/>
    <w:rsid w:val="00EA2C18"/>
    <w:rsid w:val="00EA2F20"/>
    <w:rsid w:val="00EA2F73"/>
    <w:rsid w:val="00EA316E"/>
    <w:rsid w:val="00EA3A64"/>
    <w:rsid w:val="00EA3AEB"/>
    <w:rsid w:val="00EA41BD"/>
    <w:rsid w:val="00EA44F0"/>
    <w:rsid w:val="00EA463D"/>
    <w:rsid w:val="00EA466F"/>
    <w:rsid w:val="00EA47B8"/>
    <w:rsid w:val="00EA4B9E"/>
    <w:rsid w:val="00EA536C"/>
    <w:rsid w:val="00EA57CB"/>
    <w:rsid w:val="00EA5886"/>
    <w:rsid w:val="00EA58B9"/>
    <w:rsid w:val="00EA5CC2"/>
    <w:rsid w:val="00EA603A"/>
    <w:rsid w:val="00EA641B"/>
    <w:rsid w:val="00EA6523"/>
    <w:rsid w:val="00EA65C7"/>
    <w:rsid w:val="00EA6A81"/>
    <w:rsid w:val="00EA6EE4"/>
    <w:rsid w:val="00EA6F29"/>
    <w:rsid w:val="00EA70DF"/>
    <w:rsid w:val="00EA71CE"/>
    <w:rsid w:val="00EA7496"/>
    <w:rsid w:val="00EA7E1E"/>
    <w:rsid w:val="00EB03CE"/>
    <w:rsid w:val="00EB0BB0"/>
    <w:rsid w:val="00EB0C32"/>
    <w:rsid w:val="00EB0EFC"/>
    <w:rsid w:val="00EB1236"/>
    <w:rsid w:val="00EB1476"/>
    <w:rsid w:val="00EB15D2"/>
    <w:rsid w:val="00EB25F8"/>
    <w:rsid w:val="00EB3748"/>
    <w:rsid w:val="00EB4559"/>
    <w:rsid w:val="00EB4771"/>
    <w:rsid w:val="00EB4A4B"/>
    <w:rsid w:val="00EB4C42"/>
    <w:rsid w:val="00EB534E"/>
    <w:rsid w:val="00EB5454"/>
    <w:rsid w:val="00EB555E"/>
    <w:rsid w:val="00EB56F1"/>
    <w:rsid w:val="00EB5B18"/>
    <w:rsid w:val="00EB64CC"/>
    <w:rsid w:val="00EB6BB1"/>
    <w:rsid w:val="00EB6E0E"/>
    <w:rsid w:val="00EB723D"/>
    <w:rsid w:val="00EB7542"/>
    <w:rsid w:val="00EB76F2"/>
    <w:rsid w:val="00EC0348"/>
    <w:rsid w:val="00EC0EAD"/>
    <w:rsid w:val="00EC147B"/>
    <w:rsid w:val="00EC16D7"/>
    <w:rsid w:val="00EC1945"/>
    <w:rsid w:val="00EC197F"/>
    <w:rsid w:val="00EC1A96"/>
    <w:rsid w:val="00EC1D7E"/>
    <w:rsid w:val="00EC1FAF"/>
    <w:rsid w:val="00EC225B"/>
    <w:rsid w:val="00EC248A"/>
    <w:rsid w:val="00EC26F9"/>
    <w:rsid w:val="00EC27CD"/>
    <w:rsid w:val="00EC2C9B"/>
    <w:rsid w:val="00EC39F6"/>
    <w:rsid w:val="00EC3A5E"/>
    <w:rsid w:val="00EC401F"/>
    <w:rsid w:val="00EC4176"/>
    <w:rsid w:val="00EC44FE"/>
    <w:rsid w:val="00EC4820"/>
    <w:rsid w:val="00EC48C8"/>
    <w:rsid w:val="00EC4A04"/>
    <w:rsid w:val="00EC4B40"/>
    <w:rsid w:val="00EC4F5D"/>
    <w:rsid w:val="00EC51B7"/>
    <w:rsid w:val="00EC598E"/>
    <w:rsid w:val="00EC5AAA"/>
    <w:rsid w:val="00EC5F05"/>
    <w:rsid w:val="00EC657D"/>
    <w:rsid w:val="00EC6724"/>
    <w:rsid w:val="00EC6804"/>
    <w:rsid w:val="00EC6DCB"/>
    <w:rsid w:val="00EC6E25"/>
    <w:rsid w:val="00EC7173"/>
    <w:rsid w:val="00EC75E7"/>
    <w:rsid w:val="00EC763A"/>
    <w:rsid w:val="00EC7C1E"/>
    <w:rsid w:val="00EC7ED2"/>
    <w:rsid w:val="00ED020F"/>
    <w:rsid w:val="00ED0346"/>
    <w:rsid w:val="00ED0363"/>
    <w:rsid w:val="00ED05D7"/>
    <w:rsid w:val="00ED065C"/>
    <w:rsid w:val="00ED0F85"/>
    <w:rsid w:val="00ED1018"/>
    <w:rsid w:val="00ED10B0"/>
    <w:rsid w:val="00ED13DA"/>
    <w:rsid w:val="00ED2400"/>
    <w:rsid w:val="00ED26D3"/>
    <w:rsid w:val="00ED2710"/>
    <w:rsid w:val="00ED2817"/>
    <w:rsid w:val="00ED3037"/>
    <w:rsid w:val="00ED3071"/>
    <w:rsid w:val="00ED3A73"/>
    <w:rsid w:val="00ED3B2C"/>
    <w:rsid w:val="00ED3B43"/>
    <w:rsid w:val="00ED3CD4"/>
    <w:rsid w:val="00ED3E86"/>
    <w:rsid w:val="00ED47B5"/>
    <w:rsid w:val="00ED4F9A"/>
    <w:rsid w:val="00ED53B1"/>
    <w:rsid w:val="00ED570A"/>
    <w:rsid w:val="00ED5CCA"/>
    <w:rsid w:val="00ED5D67"/>
    <w:rsid w:val="00ED61FE"/>
    <w:rsid w:val="00ED64F9"/>
    <w:rsid w:val="00ED66B2"/>
    <w:rsid w:val="00ED696C"/>
    <w:rsid w:val="00ED6974"/>
    <w:rsid w:val="00ED6D0D"/>
    <w:rsid w:val="00ED6FBF"/>
    <w:rsid w:val="00ED70A3"/>
    <w:rsid w:val="00ED70E2"/>
    <w:rsid w:val="00ED71B8"/>
    <w:rsid w:val="00ED749C"/>
    <w:rsid w:val="00ED79C1"/>
    <w:rsid w:val="00ED7B1F"/>
    <w:rsid w:val="00EE0550"/>
    <w:rsid w:val="00EE065C"/>
    <w:rsid w:val="00EE0721"/>
    <w:rsid w:val="00EE09B0"/>
    <w:rsid w:val="00EE0C54"/>
    <w:rsid w:val="00EE0E7B"/>
    <w:rsid w:val="00EE0EDC"/>
    <w:rsid w:val="00EE0F86"/>
    <w:rsid w:val="00EE1546"/>
    <w:rsid w:val="00EE1AF5"/>
    <w:rsid w:val="00EE1C86"/>
    <w:rsid w:val="00EE1E22"/>
    <w:rsid w:val="00EE1E39"/>
    <w:rsid w:val="00EE1E64"/>
    <w:rsid w:val="00EE228E"/>
    <w:rsid w:val="00EE2297"/>
    <w:rsid w:val="00EE22ED"/>
    <w:rsid w:val="00EE2A88"/>
    <w:rsid w:val="00EE2E68"/>
    <w:rsid w:val="00EE39EF"/>
    <w:rsid w:val="00EE40F9"/>
    <w:rsid w:val="00EE4605"/>
    <w:rsid w:val="00EE4AC5"/>
    <w:rsid w:val="00EE52A4"/>
    <w:rsid w:val="00EE55C4"/>
    <w:rsid w:val="00EE5AD1"/>
    <w:rsid w:val="00EE5CAC"/>
    <w:rsid w:val="00EE5D98"/>
    <w:rsid w:val="00EE6987"/>
    <w:rsid w:val="00EE6A11"/>
    <w:rsid w:val="00EE6EEB"/>
    <w:rsid w:val="00EE70DA"/>
    <w:rsid w:val="00EE71C4"/>
    <w:rsid w:val="00EE71D7"/>
    <w:rsid w:val="00EE73C6"/>
    <w:rsid w:val="00EE7641"/>
    <w:rsid w:val="00EE76E0"/>
    <w:rsid w:val="00EE7B8C"/>
    <w:rsid w:val="00EF0162"/>
    <w:rsid w:val="00EF054C"/>
    <w:rsid w:val="00EF076E"/>
    <w:rsid w:val="00EF0776"/>
    <w:rsid w:val="00EF09A7"/>
    <w:rsid w:val="00EF0BBB"/>
    <w:rsid w:val="00EF10B7"/>
    <w:rsid w:val="00EF112A"/>
    <w:rsid w:val="00EF162C"/>
    <w:rsid w:val="00EF16DF"/>
    <w:rsid w:val="00EF188E"/>
    <w:rsid w:val="00EF246C"/>
    <w:rsid w:val="00EF2784"/>
    <w:rsid w:val="00EF30FC"/>
    <w:rsid w:val="00EF3A03"/>
    <w:rsid w:val="00EF3A7A"/>
    <w:rsid w:val="00EF44C3"/>
    <w:rsid w:val="00EF46E5"/>
    <w:rsid w:val="00EF500B"/>
    <w:rsid w:val="00EF5185"/>
    <w:rsid w:val="00EF51CC"/>
    <w:rsid w:val="00EF592F"/>
    <w:rsid w:val="00EF5A22"/>
    <w:rsid w:val="00EF5EAC"/>
    <w:rsid w:val="00EF633A"/>
    <w:rsid w:val="00EF6887"/>
    <w:rsid w:val="00EF6DA5"/>
    <w:rsid w:val="00EF724F"/>
    <w:rsid w:val="00EF7866"/>
    <w:rsid w:val="00EF7E64"/>
    <w:rsid w:val="00F0010C"/>
    <w:rsid w:val="00F0056E"/>
    <w:rsid w:val="00F009FC"/>
    <w:rsid w:val="00F00E56"/>
    <w:rsid w:val="00F016F4"/>
    <w:rsid w:val="00F022D2"/>
    <w:rsid w:val="00F02845"/>
    <w:rsid w:val="00F03857"/>
    <w:rsid w:val="00F0389D"/>
    <w:rsid w:val="00F04015"/>
    <w:rsid w:val="00F04BD5"/>
    <w:rsid w:val="00F04F8F"/>
    <w:rsid w:val="00F05972"/>
    <w:rsid w:val="00F059E7"/>
    <w:rsid w:val="00F05D52"/>
    <w:rsid w:val="00F0686D"/>
    <w:rsid w:val="00F06AE1"/>
    <w:rsid w:val="00F06E6B"/>
    <w:rsid w:val="00F06F79"/>
    <w:rsid w:val="00F0738F"/>
    <w:rsid w:val="00F07757"/>
    <w:rsid w:val="00F07C14"/>
    <w:rsid w:val="00F1080D"/>
    <w:rsid w:val="00F1094F"/>
    <w:rsid w:val="00F10B85"/>
    <w:rsid w:val="00F10DF4"/>
    <w:rsid w:val="00F10FF9"/>
    <w:rsid w:val="00F11147"/>
    <w:rsid w:val="00F11175"/>
    <w:rsid w:val="00F12785"/>
    <w:rsid w:val="00F12B62"/>
    <w:rsid w:val="00F13A47"/>
    <w:rsid w:val="00F13F30"/>
    <w:rsid w:val="00F14599"/>
    <w:rsid w:val="00F14971"/>
    <w:rsid w:val="00F14A4F"/>
    <w:rsid w:val="00F15836"/>
    <w:rsid w:val="00F1590D"/>
    <w:rsid w:val="00F159B3"/>
    <w:rsid w:val="00F15CC2"/>
    <w:rsid w:val="00F15DFA"/>
    <w:rsid w:val="00F16342"/>
    <w:rsid w:val="00F16788"/>
    <w:rsid w:val="00F16B6F"/>
    <w:rsid w:val="00F16E42"/>
    <w:rsid w:val="00F175D0"/>
    <w:rsid w:val="00F176A3"/>
    <w:rsid w:val="00F17D7F"/>
    <w:rsid w:val="00F202C7"/>
    <w:rsid w:val="00F204F7"/>
    <w:rsid w:val="00F2093D"/>
    <w:rsid w:val="00F20BE2"/>
    <w:rsid w:val="00F20FB4"/>
    <w:rsid w:val="00F21420"/>
    <w:rsid w:val="00F2167E"/>
    <w:rsid w:val="00F21685"/>
    <w:rsid w:val="00F218C5"/>
    <w:rsid w:val="00F2203A"/>
    <w:rsid w:val="00F2336C"/>
    <w:rsid w:val="00F23773"/>
    <w:rsid w:val="00F24846"/>
    <w:rsid w:val="00F25054"/>
    <w:rsid w:val="00F251C0"/>
    <w:rsid w:val="00F26143"/>
    <w:rsid w:val="00F2667E"/>
    <w:rsid w:val="00F26775"/>
    <w:rsid w:val="00F26ABF"/>
    <w:rsid w:val="00F26F9A"/>
    <w:rsid w:val="00F27053"/>
    <w:rsid w:val="00F2762F"/>
    <w:rsid w:val="00F27F0E"/>
    <w:rsid w:val="00F30FFB"/>
    <w:rsid w:val="00F316F2"/>
    <w:rsid w:val="00F31995"/>
    <w:rsid w:val="00F32849"/>
    <w:rsid w:val="00F32C11"/>
    <w:rsid w:val="00F32C5A"/>
    <w:rsid w:val="00F32CBC"/>
    <w:rsid w:val="00F332BA"/>
    <w:rsid w:val="00F33AC8"/>
    <w:rsid w:val="00F3402A"/>
    <w:rsid w:val="00F34187"/>
    <w:rsid w:val="00F34695"/>
    <w:rsid w:val="00F347CB"/>
    <w:rsid w:val="00F34B5C"/>
    <w:rsid w:val="00F34CD9"/>
    <w:rsid w:val="00F352DB"/>
    <w:rsid w:val="00F3574E"/>
    <w:rsid w:val="00F3586F"/>
    <w:rsid w:val="00F35C5A"/>
    <w:rsid w:val="00F36292"/>
    <w:rsid w:val="00F369E2"/>
    <w:rsid w:val="00F36B49"/>
    <w:rsid w:val="00F36DB2"/>
    <w:rsid w:val="00F36E72"/>
    <w:rsid w:val="00F374D8"/>
    <w:rsid w:val="00F37D6C"/>
    <w:rsid w:val="00F37E4A"/>
    <w:rsid w:val="00F404AD"/>
    <w:rsid w:val="00F40B04"/>
    <w:rsid w:val="00F40D86"/>
    <w:rsid w:val="00F4142E"/>
    <w:rsid w:val="00F41C19"/>
    <w:rsid w:val="00F421BF"/>
    <w:rsid w:val="00F42782"/>
    <w:rsid w:val="00F42C01"/>
    <w:rsid w:val="00F42C7D"/>
    <w:rsid w:val="00F4305A"/>
    <w:rsid w:val="00F43098"/>
    <w:rsid w:val="00F43154"/>
    <w:rsid w:val="00F4349F"/>
    <w:rsid w:val="00F434FD"/>
    <w:rsid w:val="00F4370C"/>
    <w:rsid w:val="00F43B28"/>
    <w:rsid w:val="00F4583C"/>
    <w:rsid w:val="00F45DA5"/>
    <w:rsid w:val="00F45F01"/>
    <w:rsid w:val="00F46212"/>
    <w:rsid w:val="00F467AA"/>
    <w:rsid w:val="00F46D8F"/>
    <w:rsid w:val="00F46E38"/>
    <w:rsid w:val="00F4705F"/>
    <w:rsid w:val="00F478B9"/>
    <w:rsid w:val="00F479CB"/>
    <w:rsid w:val="00F47E1D"/>
    <w:rsid w:val="00F50024"/>
    <w:rsid w:val="00F5003E"/>
    <w:rsid w:val="00F5013F"/>
    <w:rsid w:val="00F50697"/>
    <w:rsid w:val="00F50CAC"/>
    <w:rsid w:val="00F510B1"/>
    <w:rsid w:val="00F518A5"/>
    <w:rsid w:val="00F51CA8"/>
    <w:rsid w:val="00F52972"/>
    <w:rsid w:val="00F52A25"/>
    <w:rsid w:val="00F53B9F"/>
    <w:rsid w:val="00F53C80"/>
    <w:rsid w:val="00F54481"/>
    <w:rsid w:val="00F54C2F"/>
    <w:rsid w:val="00F556D7"/>
    <w:rsid w:val="00F557FE"/>
    <w:rsid w:val="00F558CC"/>
    <w:rsid w:val="00F55F52"/>
    <w:rsid w:val="00F561D3"/>
    <w:rsid w:val="00F56B50"/>
    <w:rsid w:val="00F571B3"/>
    <w:rsid w:val="00F57505"/>
    <w:rsid w:val="00F578A6"/>
    <w:rsid w:val="00F57915"/>
    <w:rsid w:val="00F57C7A"/>
    <w:rsid w:val="00F60520"/>
    <w:rsid w:val="00F60673"/>
    <w:rsid w:val="00F60991"/>
    <w:rsid w:val="00F6105D"/>
    <w:rsid w:val="00F614C2"/>
    <w:rsid w:val="00F6157D"/>
    <w:rsid w:val="00F61A6B"/>
    <w:rsid w:val="00F61A6C"/>
    <w:rsid w:val="00F62215"/>
    <w:rsid w:val="00F62A91"/>
    <w:rsid w:val="00F62D3F"/>
    <w:rsid w:val="00F63105"/>
    <w:rsid w:val="00F63A38"/>
    <w:rsid w:val="00F63BF9"/>
    <w:rsid w:val="00F63F04"/>
    <w:rsid w:val="00F6434F"/>
    <w:rsid w:val="00F6438C"/>
    <w:rsid w:val="00F64429"/>
    <w:rsid w:val="00F656D7"/>
    <w:rsid w:val="00F6639C"/>
    <w:rsid w:val="00F66839"/>
    <w:rsid w:val="00F668C4"/>
    <w:rsid w:val="00F668E8"/>
    <w:rsid w:val="00F66CE6"/>
    <w:rsid w:val="00F66DF6"/>
    <w:rsid w:val="00F66F9E"/>
    <w:rsid w:val="00F6741C"/>
    <w:rsid w:val="00F67A9F"/>
    <w:rsid w:val="00F7000B"/>
    <w:rsid w:val="00F701F7"/>
    <w:rsid w:val="00F70683"/>
    <w:rsid w:val="00F70925"/>
    <w:rsid w:val="00F70BE0"/>
    <w:rsid w:val="00F712F7"/>
    <w:rsid w:val="00F71B66"/>
    <w:rsid w:val="00F71BB4"/>
    <w:rsid w:val="00F71BCB"/>
    <w:rsid w:val="00F71F1B"/>
    <w:rsid w:val="00F725E5"/>
    <w:rsid w:val="00F73DDC"/>
    <w:rsid w:val="00F73EE1"/>
    <w:rsid w:val="00F74362"/>
    <w:rsid w:val="00F74420"/>
    <w:rsid w:val="00F745AD"/>
    <w:rsid w:val="00F7491E"/>
    <w:rsid w:val="00F74B89"/>
    <w:rsid w:val="00F750FE"/>
    <w:rsid w:val="00F757F9"/>
    <w:rsid w:val="00F75EF3"/>
    <w:rsid w:val="00F76406"/>
    <w:rsid w:val="00F76ABB"/>
    <w:rsid w:val="00F76C6C"/>
    <w:rsid w:val="00F7750D"/>
    <w:rsid w:val="00F776C1"/>
    <w:rsid w:val="00F77A07"/>
    <w:rsid w:val="00F77B65"/>
    <w:rsid w:val="00F77E1D"/>
    <w:rsid w:val="00F80095"/>
    <w:rsid w:val="00F8085B"/>
    <w:rsid w:val="00F80A2F"/>
    <w:rsid w:val="00F80A5E"/>
    <w:rsid w:val="00F80A8F"/>
    <w:rsid w:val="00F8118B"/>
    <w:rsid w:val="00F81293"/>
    <w:rsid w:val="00F813A1"/>
    <w:rsid w:val="00F819C7"/>
    <w:rsid w:val="00F82726"/>
    <w:rsid w:val="00F82FDA"/>
    <w:rsid w:val="00F830E3"/>
    <w:rsid w:val="00F83956"/>
    <w:rsid w:val="00F83A54"/>
    <w:rsid w:val="00F83D17"/>
    <w:rsid w:val="00F84545"/>
    <w:rsid w:val="00F84B3D"/>
    <w:rsid w:val="00F84C88"/>
    <w:rsid w:val="00F84F39"/>
    <w:rsid w:val="00F8520A"/>
    <w:rsid w:val="00F85276"/>
    <w:rsid w:val="00F8582E"/>
    <w:rsid w:val="00F85EE4"/>
    <w:rsid w:val="00F86090"/>
    <w:rsid w:val="00F862FD"/>
    <w:rsid w:val="00F873AC"/>
    <w:rsid w:val="00F87674"/>
    <w:rsid w:val="00F87BA2"/>
    <w:rsid w:val="00F87C11"/>
    <w:rsid w:val="00F87E09"/>
    <w:rsid w:val="00F906C3"/>
    <w:rsid w:val="00F90920"/>
    <w:rsid w:val="00F90A3C"/>
    <w:rsid w:val="00F90D1E"/>
    <w:rsid w:val="00F912F4"/>
    <w:rsid w:val="00F915AC"/>
    <w:rsid w:val="00F92382"/>
    <w:rsid w:val="00F9278E"/>
    <w:rsid w:val="00F92C44"/>
    <w:rsid w:val="00F92DF9"/>
    <w:rsid w:val="00F92EC4"/>
    <w:rsid w:val="00F9342A"/>
    <w:rsid w:val="00F93455"/>
    <w:rsid w:val="00F93D41"/>
    <w:rsid w:val="00F93F43"/>
    <w:rsid w:val="00F94380"/>
    <w:rsid w:val="00F9466F"/>
    <w:rsid w:val="00F947E7"/>
    <w:rsid w:val="00F950AF"/>
    <w:rsid w:val="00F9559E"/>
    <w:rsid w:val="00F958F1"/>
    <w:rsid w:val="00F96060"/>
    <w:rsid w:val="00F96493"/>
    <w:rsid w:val="00F9670E"/>
    <w:rsid w:val="00F96A58"/>
    <w:rsid w:val="00F96A60"/>
    <w:rsid w:val="00F971C3"/>
    <w:rsid w:val="00F9740C"/>
    <w:rsid w:val="00F9762E"/>
    <w:rsid w:val="00F97A13"/>
    <w:rsid w:val="00F97EB6"/>
    <w:rsid w:val="00FA0454"/>
    <w:rsid w:val="00FA0F70"/>
    <w:rsid w:val="00FA1158"/>
    <w:rsid w:val="00FA12AA"/>
    <w:rsid w:val="00FA1495"/>
    <w:rsid w:val="00FA177E"/>
    <w:rsid w:val="00FA1A8F"/>
    <w:rsid w:val="00FA1CF4"/>
    <w:rsid w:val="00FA1F65"/>
    <w:rsid w:val="00FA1F73"/>
    <w:rsid w:val="00FA249A"/>
    <w:rsid w:val="00FA24A7"/>
    <w:rsid w:val="00FA34CF"/>
    <w:rsid w:val="00FA39BE"/>
    <w:rsid w:val="00FA3D9C"/>
    <w:rsid w:val="00FA3DD0"/>
    <w:rsid w:val="00FA3F12"/>
    <w:rsid w:val="00FA3F3A"/>
    <w:rsid w:val="00FA444C"/>
    <w:rsid w:val="00FA460A"/>
    <w:rsid w:val="00FA49A1"/>
    <w:rsid w:val="00FA4ACF"/>
    <w:rsid w:val="00FA539E"/>
    <w:rsid w:val="00FA5506"/>
    <w:rsid w:val="00FA5536"/>
    <w:rsid w:val="00FA57A8"/>
    <w:rsid w:val="00FA5FD9"/>
    <w:rsid w:val="00FA666C"/>
    <w:rsid w:val="00FA687B"/>
    <w:rsid w:val="00FA69CC"/>
    <w:rsid w:val="00FA6CDF"/>
    <w:rsid w:val="00FA7281"/>
    <w:rsid w:val="00FA74ED"/>
    <w:rsid w:val="00FA75A8"/>
    <w:rsid w:val="00FA76B6"/>
    <w:rsid w:val="00FA773A"/>
    <w:rsid w:val="00FA7816"/>
    <w:rsid w:val="00FA7952"/>
    <w:rsid w:val="00FA7ECC"/>
    <w:rsid w:val="00FB0A40"/>
    <w:rsid w:val="00FB0BEF"/>
    <w:rsid w:val="00FB0E49"/>
    <w:rsid w:val="00FB159B"/>
    <w:rsid w:val="00FB1751"/>
    <w:rsid w:val="00FB1964"/>
    <w:rsid w:val="00FB1EDD"/>
    <w:rsid w:val="00FB2303"/>
    <w:rsid w:val="00FB26A1"/>
    <w:rsid w:val="00FB2791"/>
    <w:rsid w:val="00FB2AC7"/>
    <w:rsid w:val="00FB2BFD"/>
    <w:rsid w:val="00FB3C71"/>
    <w:rsid w:val="00FB3DB8"/>
    <w:rsid w:val="00FB3FD5"/>
    <w:rsid w:val="00FB4B8D"/>
    <w:rsid w:val="00FB4D7C"/>
    <w:rsid w:val="00FB4ED8"/>
    <w:rsid w:val="00FB5360"/>
    <w:rsid w:val="00FB6C17"/>
    <w:rsid w:val="00FB6C55"/>
    <w:rsid w:val="00FB6CE6"/>
    <w:rsid w:val="00FB6FF6"/>
    <w:rsid w:val="00FB714F"/>
    <w:rsid w:val="00FB747E"/>
    <w:rsid w:val="00FB764B"/>
    <w:rsid w:val="00FB76A2"/>
    <w:rsid w:val="00FB7C8E"/>
    <w:rsid w:val="00FC0004"/>
    <w:rsid w:val="00FC0050"/>
    <w:rsid w:val="00FC00E3"/>
    <w:rsid w:val="00FC02C1"/>
    <w:rsid w:val="00FC06D3"/>
    <w:rsid w:val="00FC0E26"/>
    <w:rsid w:val="00FC15A6"/>
    <w:rsid w:val="00FC1EE4"/>
    <w:rsid w:val="00FC2480"/>
    <w:rsid w:val="00FC2571"/>
    <w:rsid w:val="00FC25A9"/>
    <w:rsid w:val="00FC30D1"/>
    <w:rsid w:val="00FC3450"/>
    <w:rsid w:val="00FC3DA6"/>
    <w:rsid w:val="00FC40EE"/>
    <w:rsid w:val="00FC4239"/>
    <w:rsid w:val="00FC449E"/>
    <w:rsid w:val="00FC4599"/>
    <w:rsid w:val="00FC4DD7"/>
    <w:rsid w:val="00FC5217"/>
    <w:rsid w:val="00FC555C"/>
    <w:rsid w:val="00FC570E"/>
    <w:rsid w:val="00FC5C9F"/>
    <w:rsid w:val="00FC5E78"/>
    <w:rsid w:val="00FC5FF2"/>
    <w:rsid w:val="00FC6388"/>
    <w:rsid w:val="00FC66E9"/>
    <w:rsid w:val="00FC717F"/>
    <w:rsid w:val="00FC72F7"/>
    <w:rsid w:val="00FC7346"/>
    <w:rsid w:val="00FC7530"/>
    <w:rsid w:val="00FC75B7"/>
    <w:rsid w:val="00FC7BA8"/>
    <w:rsid w:val="00FD02C0"/>
    <w:rsid w:val="00FD0755"/>
    <w:rsid w:val="00FD0C11"/>
    <w:rsid w:val="00FD0ED3"/>
    <w:rsid w:val="00FD1002"/>
    <w:rsid w:val="00FD1170"/>
    <w:rsid w:val="00FD119C"/>
    <w:rsid w:val="00FD1651"/>
    <w:rsid w:val="00FD1B55"/>
    <w:rsid w:val="00FD21D1"/>
    <w:rsid w:val="00FD2332"/>
    <w:rsid w:val="00FD278E"/>
    <w:rsid w:val="00FD2B5A"/>
    <w:rsid w:val="00FD2F94"/>
    <w:rsid w:val="00FD32D3"/>
    <w:rsid w:val="00FD3496"/>
    <w:rsid w:val="00FD4795"/>
    <w:rsid w:val="00FD4E8F"/>
    <w:rsid w:val="00FD5651"/>
    <w:rsid w:val="00FD72D0"/>
    <w:rsid w:val="00FD769B"/>
    <w:rsid w:val="00FD7766"/>
    <w:rsid w:val="00FD782D"/>
    <w:rsid w:val="00FD7898"/>
    <w:rsid w:val="00FD78C7"/>
    <w:rsid w:val="00FD7FCA"/>
    <w:rsid w:val="00FE08C4"/>
    <w:rsid w:val="00FE0A67"/>
    <w:rsid w:val="00FE1090"/>
    <w:rsid w:val="00FE1345"/>
    <w:rsid w:val="00FE1527"/>
    <w:rsid w:val="00FE1E1A"/>
    <w:rsid w:val="00FE21E8"/>
    <w:rsid w:val="00FE2359"/>
    <w:rsid w:val="00FE283A"/>
    <w:rsid w:val="00FE2B8B"/>
    <w:rsid w:val="00FE3D86"/>
    <w:rsid w:val="00FE429F"/>
    <w:rsid w:val="00FE4A71"/>
    <w:rsid w:val="00FE4CA6"/>
    <w:rsid w:val="00FE5537"/>
    <w:rsid w:val="00FE55AA"/>
    <w:rsid w:val="00FE5E58"/>
    <w:rsid w:val="00FE5F56"/>
    <w:rsid w:val="00FE672C"/>
    <w:rsid w:val="00FE676C"/>
    <w:rsid w:val="00FE734A"/>
    <w:rsid w:val="00FE7ADD"/>
    <w:rsid w:val="00FE7D3A"/>
    <w:rsid w:val="00FE7FD8"/>
    <w:rsid w:val="00FF0734"/>
    <w:rsid w:val="00FF083B"/>
    <w:rsid w:val="00FF14F7"/>
    <w:rsid w:val="00FF1605"/>
    <w:rsid w:val="00FF1B70"/>
    <w:rsid w:val="00FF1BE9"/>
    <w:rsid w:val="00FF2C10"/>
    <w:rsid w:val="00FF2C56"/>
    <w:rsid w:val="00FF30F3"/>
    <w:rsid w:val="00FF322C"/>
    <w:rsid w:val="00FF3690"/>
    <w:rsid w:val="00FF3DF4"/>
    <w:rsid w:val="00FF43C9"/>
    <w:rsid w:val="00FF44E1"/>
    <w:rsid w:val="00FF44FC"/>
    <w:rsid w:val="00FF46E3"/>
    <w:rsid w:val="00FF46FE"/>
    <w:rsid w:val="00FF5A4C"/>
    <w:rsid w:val="00FF5BFD"/>
    <w:rsid w:val="00FF5DB5"/>
    <w:rsid w:val="00FF5FCC"/>
    <w:rsid w:val="00FF6525"/>
    <w:rsid w:val="00FF678F"/>
    <w:rsid w:val="00FF7438"/>
    <w:rsid w:val="00FF7518"/>
    <w:rsid w:val="00FF761C"/>
    <w:rsid w:val="00FF76A9"/>
    <w:rsid w:val="00FF7A33"/>
    <w:rsid w:val="00FF7B53"/>
    <w:rsid w:val="00FF7CEB"/>
    <w:rsid w:val="00FF7D9E"/>
    <w:rsid w:val="77B21B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80699"/>
  <w15:chartTrackingRefBased/>
  <w15:docId w15:val="{9BEE6EF5-2BA7-4322-9AC9-7D9DFCB9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line="288" w:lineRule="auto"/>
      </w:pPr>
    </w:pPrDefault>
  </w:docDefaults>
  <w:latentStyles w:defLockedState="0" w:defUIPriority="99" w:defSemiHidden="0" w:defUnhideWhenUsed="0" w:defQFormat="0" w:count="371">
    <w:lsdException w:name="Normal"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lsdException w:name="heading 7" w:semiHidden="1" w:uiPriority="3" w:qFormat="1"/>
    <w:lsdException w:name="heading 8" w:semiHidden="1" w:uiPriority="3" w:qFormat="1"/>
    <w:lsdException w:name="heading 9" w:semiHidden="1"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index 7" w:semiHidden="1" w:unhideWhenUsed="1"/>
    <w:lsdException w:name="index 8" w:semiHidden="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1" w:unhideWhenUsed="1"/>
    <w:lsdException w:name="toc 6" w:semiHidden="1" w:uiPriority="41" w:unhideWhenUsed="1"/>
    <w:lsdException w:name="toc 7" w:semiHidden="1" w:uiPriority="41" w:unhideWhenUsed="1"/>
    <w:lsdException w:name="toc 8" w:semiHidden="1" w:uiPriority="41" w:unhideWhenUsed="1"/>
    <w:lsdException w:name="toc 9" w:semiHidden="1" w:uiPriority="41" w:unhideWhenUsed="1"/>
    <w:lsdException w:name="Normal Indent" w:semiHidden="1" w:unhideWhenUsed="1"/>
    <w:lsdException w:name="footnote text" w:semiHidden="1" w:unhideWhenUsed="1" w:qFormat="1"/>
    <w:lsdException w:name="annotation text" w:semiHidden="1" w:unhideWhenUsed="1"/>
    <w:lsdException w:name="header" w:semiHidden="1" w:uiPriority="32" w:unhideWhenUsed="1"/>
    <w:lsdException w:name="footer" w:semiHidden="1" w:uiPriority="33"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uiPriority="6" w:unhideWhenUsed="1"/>
    <w:lsdException w:name="List 2" w:semiHidden="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unhideWhenUsed="1"/>
    <w:lsdException w:name="List Continue 4" w:semiHidden="1"/>
    <w:lsdException w:name="List Continue 5" w:semiHidden="1"/>
    <w:lsdException w:name="Message Header" w:semiHidden="1"/>
    <w:lsdException w:name="Subtitle" w:uiPriority="37"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semiHidden="1" w:uiPriority="1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lsdException w:name="Subtle Reference" w:uiPriority="23" w:qFormat="1"/>
    <w:lsdException w:name="Intense Reference" w:uiPriority="24" w:qFormat="1"/>
    <w:lsdException w:name="Book Title" w:semiHidden="1" w:qFormat="1"/>
    <w:lsdException w:name="Bibliography" w:semiHidden="1" w:uiPriority="4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E2100"/>
    <w:rPr>
      <w:sz w:val="24"/>
    </w:rPr>
  </w:style>
  <w:style w:type="paragraph" w:styleId="Heading1">
    <w:name w:val="heading 1"/>
    <w:basedOn w:val="Normal"/>
    <w:next w:val="Heading1Separator"/>
    <w:link w:val="Heading1Char"/>
    <w:uiPriority w:val="1"/>
    <w:unhideWhenUsed/>
    <w:qFormat/>
    <w:rsid w:val="00DE2100"/>
    <w:pPr>
      <w:keepNext/>
      <w:keepLines/>
      <w:numPr>
        <w:numId w:val="15"/>
      </w:numPr>
      <w:spacing w:before="480" w:after="120" w:line="216" w:lineRule="auto"/>
      <w:mirrorIndents/>
      <w:outlineLvl w:val="0"/>
    </w:pPr>
    <w:rPr>
      <w:rFonts w:eastAsia="MingLiU" w:cs="Times New Roman"/>
      <w:bCs/>
      <w:color w:val="1B3D6F" w:themeColor="accent1"/>
      <w:sz w:val="48"/>
      <w:szCs w:val="52"/>
      <w:lang w:eastAsia="en-US"/>
    </w:rPr>
  </w:style>
  <w:style w:type="paragraph" w:styleId="Heading2">
    <w:name w:val="heading 2"/>
    <w:basedOn w:val="Normal"/>
    <w:next w:val="Paragraph"/>
    <w:link w:val="Heading2Char"/>
    <w:uiPriority w:val="3"/>
    <w:unhideWhenUsed/>
    <w:qFormat/>
    <w:rsid w:val="00DE2100"/>
    <w:pPr>
      <w:keepNext/>
      <w:keepLines/>
      <w:numPr>
        <w:ilvl w:val="1"/>
        <w:numId w:val="15"/>
      </w:numPr>
      <w:spacing w:before="480" w:after="240" w:line="216" w:lineRule="auto"/>
      <w:outlineLvl w:val="1"/>
    </w:pPr>
    <w:rPr>
      <w:rFonts w:eastAsiaTheme="majorEastAsia" w:cstheme="majorBidi"/>
      <w:bCs/>
      <w:color w:val="404040" w:themeColor="text1" w:themeTint="BF"/>
      <w:sz w:val="41"/>
      <w:szCs w:val="41"/>
      <w:lang w:eastAsia="en-US"/>
    </w:rPr>
  </w:style>
  <w:style w:type="paragraph" w:styleId="Heading3">
    <w:name w:val="heading 3"/>
    <w:basedOn w:val="Normal"/>
    <w:next w:val="Paragraph"/>
    <w:link w:val="Heading3Char"/>
    <w:uiPriority w:val="3"/>
    <w:unhideWhenUsed/>
    <w:qFormat/>
    <w:rsid w:val="00DE2100"/>
    <w:pPr>
      <w:keepNext/>
      <w:keepLines/>
      <w:numPr>
        <w:ilvl w:val="2"/>
        <w:numId w:val="15"/>
      </w:numPr>
      <w:spacing w:before="360" w:after="120" w:line="216" w:lineRule="auto"/>
      <w:outlineLvl w:val="2"/>
    </w:pPr>
    <w:rPr>
      <w:rFonts w:eastAsiaTheme="majorEastAsia" w:cstheme="majorBidi"/>
      <w:b/>
      <w:bCs/>
      <w:color w:val="404040" w:themeColor="text1" w:themeTint="BF"/>
      <w:spacing w:val="4"/>
      <w:sz w:val="34"/>
      <w:szCs w:val="34"/>
      <w:lang w:eastAsia="en-US"/>
    </w:rPr>
  </w:style>
  <w:style w:type="paragraph" w:styleId="Heading4">
    <w:name w:val="heading 4"/>
    <w:basedOn w:val="Normal"/>
    <w:next w:val="Normal"/>
    <w:link w:val="Heading4Char"/>
    <w:uiPriority w:val="3"/>
    <w:unhideWhenUsed/>
    <w:qFormat/>
    <w:rsid w:val="00DE2100"/>
    <w:pPr>
      <w:keepNext/>
      <w:keepLines/>
      <w:numPr>
        <w:ilvl w:val="3"/>
        <w:numId w:val="15"/>
      </w:numPr>
      <w:spacing w:before="240" w:after="120" w:line="216" w:lineRule="auto"/>
      <w:outlineLvl w:val="3"/>
    </w:pPr>
    <w:rPr>
      <w:rFonts w:eastAsiaTheme="majorEastAsia" w:cstheme="majorBidi"/>
      <w:b/>
      <w:bCs/>
      <w:iCs/>
      <w:color w:val="2297AA" w:themeColor="accent2"/>
      <w:sz w:val="29"/>
      <w:szCs w:val="29"/>
      <w:lang w:val="en-CA" w:eastAsia="en-US"/>
    </w:rPr>
  </w:style>
  <w:style w:type="paragraph" w:styleId="Heading5">
    <w:name w:val="heading 5"/>
    <w:basedOn w:val="TOCHeading"/>
    <w:next w:val="Normal"/>
    <w:link w:val="Heading5Char"/>
    <w:uiPriority w:val="3"/>
    <w:unhideWhenUsed/>
    <w:qFormat/>
    <w:rsid w:val="00DE2100"/>
    <w:pPr>
      <w:keepNext/>
      <w:numPr>
        <w:ilvl w:val="4"/>
        <w:numId w:val="20"/>
      </w:numPr>
      <w:pBdr>
        <w:top w:val="single" w:sz="8" w:space="6" w:color="D8DBDE" w:themeColor="background2" w:themeTint="33"/>
      </w:pBdr>
      <w:spacing w:before="240"/>
      <w:outlineLvl w:val="4"/>
    </w:pPr>
  </w:style>
  <w:style w:type="paragraph" w:styleId="Heading6">
    <w:name w:val="heading 6"/>
    <w:basedOn w:val="Normal"/>
    <w:next w:val="Normal"/>
    <w:link w:val="Heading6Char"/>
    <w:uiPriority w:val="3"/>
    <w:unhideWhenUsed/>
    <w:rsid w:val="00DE2100"/>
    <w:pPr>
      <w:keepNext/>
      <w:tabs>
        <w:tab w:val="left" w:pos="7740"/>
      </w:tabs>
      <w:spacing w:before="240" w:after="120" w:line="240" w:lineRule="auto"/>
      <w:ind w:right="907"/>
      <w:outlineLvl w:val="5"/>
    </w:pPr>
    <w:rPr>
      <w:rFonts w:ascii="Calibri" w:eastAsia="MS Gothic" w:hAnsi="Calibri" w:cs="Times New Roman"/>
      <w:b/>
      <w:caps/>
      <w:color w:val="2297AA" w:themeColor="accent2"/>
      <w:spacing w:val="10"/>
      <w:szCs w:val="15"/>
      <w:lang w:eastAsia="en-US"/>
    </w:rPr>
  </w:style>
  <w:style w:type="paragraph" w:styleId="Heading7">
    <w:name w:val="heading 7"/>
    <w:basedOn w:val="Normal"/>
    <w:next w:val="Normal"/>
    <w:link w:val="Heading7Char"/>
    <w:uiPriority w:val="3"/>
    <w:semiHidden/>
    <w:unhideWhenUsed/>
    <w:qFormat/>
    <w:rsid w:val="00DE2100"/>
    <w:pPr>
      <w:keepNext/>
      <w:keepLines/>
      <w:numPr>
        <w:ilvl w:val="6"/>
        <w:numId w:val="20"/>
      </w:numPr>
      <w:spacing w:before="200"/>
      <w:outlineLvl w:val="6"/>
    </w:pPr>
    <w:rPr>
      <w:rFonts w:eastAsiaTheme="majorEastAsia" w:cstheme="majorBidi"/>
      <w:i/>
      <w:iCs/>
      <w:color w:val="404040" w:themeColor="text1" w:themeTint="BF"/>
      <w:szCs w:val="23"/>
      <w:lang w:eastAsia="en-US"/>
    </w:rPr>
  </w:style>
  <w:style w:type="paragraph" w:styleId="Heading8">
    <w:name w:val="heading 8"/>
    <w:basedOn w:val="Normal"/>
    <w:next w:val="Normal"/>
    <w:link w:val="Heading8Char"/>
    <w:uiPriority w:val="3"/>
    <w:semiHidden/>
    <w:unhideWhenUsed/>
    <w:qFormat/>
    <w:rsid w:val="00DE2100"/>
    <w:pPr>
      <w:keepNext/>
      <w:keepLines/>
      <w:numPr>
        <w:ilvl w:val="7"/>
        <w:numId w:val="20"/>
      </w:numPr>
      <w:spacing w:before="200"/>
      <w:outlineLvl w:val="7"/>
    </w:pPr>
    <w:rPr>
      <w:rFonts w:eastAsiaTheme="majorEastAsia" w:cstheme="majorBidi"/>
      <w:color w:val="404040" w:themeColor="text1" w:themeTint="BF"/>
      <w:szCs w:val="23"/>
      <w:lang w:eastAsia="en-US"/>
    </w:rPr>
  </w:style>
  <w:style w:type="paragraph" w:styleId="Heading9">
    <w:name w:val="heading 9"/>
    <w:basedOn w:val="Normal"/>
    <w:next w:val="Normal"/>
    <w:link w:val="Heading9Char"/>
    <w:uiPriority w:val="3"/>
    <w:semiHidden/>
    <w:unhideWhenUsed/>
    <w:qFormat/>
    <w:rsid w:val="00DE2100"/>
    <w:pPr>
      <w:keepNext/>
      <w:keepLines/>
      <w:numPr>
        <w:numId w:val="21"/>
      </w:numPr>
      <w:tabs>
        <w:tab w:val="clear" w:pos="1080"/>
      </w:tabs>
      <w:spacing w:before="200"/>
      <w:outlineLvl w:val="8"/>
    </w:pPr>
    <w:rPr>
      <w:rFonts w:eastAsiaTheme="majorEastAsia" w:cstheme="majorBidi"/>
      <w:i/>
      <w:iCs/>
      <w:color w:val="404040" w:themeColor="text1" w:themeTint="BF"/>
      <w:szCs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2100"/>
    <w:rPr>
      <w:rFonts w:eastAsia="MingLiU" w:cs="Times New Roman"/>
      <w:bCs/>
      <w:color w:val="1B3D6F" w:themeColor="accent1"/>
      <w:sz w:val="48"/>
      <w:szCs w:val="52"/>
      <w:lang w:eastAsia="en-US"/>
    </w:rPr>
  </w:style>
  <w:style w:type="paragraph" w:styleId="TOCHeading">
    <w:name w:val="TOC Heading"/>
    <w:basedOn w:val="Normal"/>
    <w:next w:val="Normal"/>
    <w:uiPriority w:val="39"/>
    <w:unhideWhenUsed/>
    <w:qFormat/>
    <w:rsid w:val="00DE2100"/>
    <w:pPr>
      <w:pBdr>
        <w:top w:val="single" w:sz="4" w:space="6" w:color="D8DBDE" w:themeColor="background2" w:themeTint="33"/>
      </w:pBdr>
      <w:spacing w:after="240"/>
    </w:pPr>
    <w:rPr>
      <w:rFonts w:eastAsia="PMingLiU" w:cs="Times New Roman"/>
      <w:caps/>
      <w:color w:val="494F56" w:themeColor="background2"/>
      <w:spacing w:val="10"/>
      <w:szCs w:val="28"/>
      <w:lang w:eastAsia="en-US"/>
    </w:rPr>
  </w:style>
  <w:style w:type="paragraph" w:styleId="Header">
    <w:name w:val="header"/>
    <w:basedOn w:val="Normal"/>
    <w:link w:val="HeaderChar"/>
    <w:uiPriority w:val="32"/>
    <w:unhideWhenUsed/>
    <w:rsid w:val="00DE2100"/>
    <w:pPr>
      <w:tabs>
        <w:tab w:val="center" w:pos="4680"/>
        <w:tab w:val="right" w:pos="9360"/>
      </w:tabs>
      <w:spacing w:line="240" w:lineRule="auto"/>
      <w:jc w:val="center"/>
    </w:pPr>
    <w:rPr>
      <w:rFonts w:cs="Times New Roman"/>
      <w:caps/>
      <w:color w:val="494F56" w:themeColor="background2"/>
      <w:spacing w:val="6"/>
      <w:sz w:val="20"/>
      <w:szCs w:val="23"/>
      <w:lang w:eastAsia="en-US"/>
    </w:rPr>
  </w:style>
  <w:style w:type="character" w:customStyle="1" w:styleId="HeaderChar">
    <w:name w:val="Header Char"/>
    <w:basedOn w:val="DefaultParagraphFont"/>
    <w:link w:val="Header"/>
    <w:uiPriority w:val="32"/>
    <w:rsid w:val="00DE2100"/>
    <w:rPr>
      <w:rFonts w:cs="Times New Roman"/>
      <w:caps/>
      <w:color w:val="494F56" w:themeColor="background2"/>
      <w:spacing w:val="6"/>
      <w:sz w:val="20"/>
      <w:szCs w:val="23"/>
      <w:lang w:eastAsia="en-US"/>
    </w:rPr>
  </w:style>
  <w:style w:type="paragraph" w:styleId="Footer">
    <w:name w:val="footer"/>
    <w:basedOn w:val="Normal"/>
    <w:link w:val="FooterChar"/>
    <w:uiPriority w:val="33"/>
    <w:unhideWhenUsed/>
    <w:rsid w:val="00DE2100"/>
    <w:pPr>
      <w:tabs>
        <w:tab w:val="right" w:pos="9360"/>
      </w:tabs>
      <w:spacing w:before="230"/>
    </w:pPr>
    <w:rPr>
      <w:color w:val="494F56" w:themeColor="background2"/>
      <w:sz w:val="20"/>
      <w:szCs w:val="18"/>
    </w:rPr>
  </w:style>
  <w:style w:type="character" w:customStyle="1" w:styleId="FooterChar">
    <w:name w:val="Footer Char"/>
    <w:basedOn w:val="DefaultParagraphFont"/>
    <w:link w:val="Footer"/>
    <w:uiPriority w:val="33"/>
    <w:rsid w:val="00DE2100"/>
    <w:rPr>
      <w:color w:val="494F56" w:themeColor="background2"/>
      <w:sz w:val="20"/>
      <w:szCs w:val="18"/>
    </w:rPr>
  </w:style>
  <w:style w:type="paragraph" w:styleId="BalloonText">
    <w:name w:val="Balloon Text"/>
    <w:basedOn w:val="Normal"/>
    <w:link w:val="BalloonTextChar"/>
    <w:uiPriority w:val="99"/>
    <w:semiHidden/>
    <w:unhideWhenUsed/>
    <w:rsid w:val="00DE2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100"/>
    <w:rPr>
      <w:rFonts w:ascii="Lucida Grande" w:hAnsi="Lucida Grande" w:cs="Lucida Grande"/>
      <w:sz w:val="18"/>
      <w:szCs w:val="18"/>
    </w:rPr>
  </w:style>
  <w:style w:type="paragraph" w:styleId="Caption">
    <w:name w:val="caption"/>
    <w:basedOn w:val="Normal"/>
    <w:uiPriority w:val="12"/>
    <w:unhideWhenUsed/>
    <w:qFormat/>
    <w:rsid w:val="00DE2100"/>
    <w:pPr>
      <w:keepNext/>
      <w:spacing w:before="240" w:after="120" w:line="240" w:lineRule="auto"/>
      <w:contextualSpacing/>
    </w:pPr>
    <w:rPr>
      <w:rFonts w:eastAsiaTheme="minorEastAsia"/>
      <w:b/>
      <w:bCs/>
      <w:caps/>
      <w:color w:val="494F56" w:themeColor="background2"/>
      <w:spacing w:val="10"/>
      <w:sz w:val="20"/>
      <w:szCs w:val="18"/>
    </w:rPr>
  </w:style>
  <w:style w:type="character" w:styleId="PageNumber">
    <w:name w:val="page number"/>
    <w:basedOn w:val="DefaultParagraphFont"/>
    <w:uiPriority w:val="99"/>
    <w:unhideWhenUsed/>
    <w:rsid w:val="00DE2100"/>
  </w:style>
  <w:style w:type="paragraph" w:styleId="TOC1">
    <w:name w:val="toc 1"/>
    <w:basedOn w:val="Normal"/>
    <w:next w:val="Normal"/>
    <w:autoRedefine/>
    <w:uiPriority w:val="39"/>
    <w:unhideWhenUsed/>
    <w:rsid w:val="00DE2100"/>
    <w:pPr>
      <w:tabs>
        <w:tab w:val="right" w:leader="dot" w:pos="9360"/>
      </w:tabs>
      <w:spacing w:before="240" w:after="60" w:line="240" w:lineRule="auto"/>
      <w:ind w:left="432" w:hanging="432"/>
    </w:pPr>
    <w:rPr>
      <w:rFonts w:eastAsiaTheme="minorEastAsia"/>
      <w:noProof/>
      <w:color w:val="1B3D6F" w:themeColor="accent1"/>
      <w:sz w:val="28"/>
      <w:szCs w:val="28"/>
      <w:lang w:eastAsia="en-US"/>
    </w:rPr>
  </w:style>
  <w:style w:type="paragraph" w:styleId="TOC2">
    <w:name w:val="toc 2"/>
    <w:basedOn w:val="Normal"/>
    <w:next w:val="Normal"/>
    <w:autoRedefine/>
    <w:uiPriority w:val="39"/>
    <w:unhideWhenUsed/>
    <w:rsid w:val="00DE2100"/>
    <w:pPr>
      <w:tabs>
        <w:tab w:val="right" w:leader="dot" w:pos="9360"/>
      </w:tabs>
      <w:spacing w:before="60" w:line="240" w:lineRule="auto"/>
      <w:ind w:left="864" w:hanging="432"/>
    </w:pPr>
    <w:rPr>
      <w:rFonts w:eastAsiaTheme="minorEastAsia"/>
      <w:noProof/>
      <w:color w:val="000000" w:themeColor="text1"/>
      <w:szCs w:val="24"/>
      <w:lang w:eastAsia="en-US"/>
    </w:rPr>
  </w:style>
  <w:style w:type="paragraph" w:styleId="TOC3">
    <w:name w:val="toc 3"/>
    <w:basedOn w:val="Normal"/>
    <w:next w:val="Normal"/>
    <w:autoRedefine/>
    <w:uiPriority w:val="39"/>
    <w:unhideWhenUsed/>
    <w:rsid w:val="00DE2100"/>
    <w:pPr>
      <w:tabs>
        <w:tab w:val="right" w:leader="dot" w:pos="9360"/>
      </w:tabs>
      <w:spacing w:before="60" w:line="240" w:lineRule="auto"/>
      <w:ind w:left="1296" w:hanging="432"/>
    </w:pPr>
    <w:rPr>
      <w:rFonts w:eastAsiaTheme="minorEastAsia"/>
      <w:noProof/>
      <w:lang w:eastAsia="en-US"/>
    </w:rPr>
  </w:style>
  <w:style w:type="paragraph" w:styleId="TOC4">
    <w:name w:val="toc 4"/>
    <w:basedOn w:val="Normal"/>
    <w:next w:val="Normal"/>
    <w:uiPriority w:val="39"/>
    <w:unhideWhenUsed/>
    <w:rsid w:val="00DE2100"/>
    <w:pPr>
      <w:tabs>
        <w:tab w:val="right" w:leader="dot" w:pos="9360"/>
      </w:tabs>
      <w:spacing w:before="60" w:line="240" w:lineRule="auto"/>
      <w:ind w:left="1728" w:hanging="432"/>
    </w:pPr>
    <w:rPr>
      <w:rFonts w:eastAsiaTheme="minorEastAsia"/>
      <w:noProof/>
      <w:lang w:eastAsia="en-US"/>
    </w:rPr>
  </w:style>
  <w:style w:type="paragraph" w:styleId="TOC5">
    <w:name w:val="toc 5"/>
    <w:basedOn w:val="Normal"/>
    <w:next w:val="Normal"/>
    <w:autoRedefine/>
    <w:uiPriority w:val="41"/>
    <w:semiHidden/>
    <w:unhideWhenUsed/>
    <w:rsid w:val="00DE2100"/>
    <w:pPr>
      <w:ind w:left="960"/>
    </w:pPr>
    <w:rPr>
      <w:sz w:val="20"/>
      <w:szCs w:val="20"/>
    </w:rPr>
  </w:style>
  <w:style w:type="paragraph" w:styleId="TOC6">
    <w:name w:val="toc 6"/>
    <w:basedOn w:val="Normal"/>
    <w:next w:val="Normal"/>
    <w:autoRedefine/>
    <w:uiPriority w:val="41"/>
    <w:semiHidden/>
    <w:unhideWhenUsed/>
    <w:rsid w:val="00DE2100"/>
    <w:pPr>
      <w:ind w:left="1200"/>
    </w:pPr>
    <w:rPr>
      <w:sz w:val="20"/>
      <w:szCs w:val="20"/>
    </w:rPr>
  </w:style>
  <w:style w:type="paragraph" w:styleId="TOC7">
    <w:name w:val="toc 7"/>
    <w:basedOn w:val="Normal"/>
    <w:next w:val="Normal"/>
    <w:autoRedefine/>
    <w:uiPriority w:val="41"/>
    <w:semiHidden/>
    <w:unhideWhenUsed/>
    <w:rsid w:val="00DE2100"/>
    <w:pPr>
      <w:ind w:left="1440"/>
    </w:pPr>
    <w:rPr>
      <w:sz w:val="20"/>
      <w:szCs w:val="20"/>
    </w:rPr>
  </w:style>
  <w:style w:type="paragraph" w:styleId="TOC8">
    <w:name w:val="toc 8"/>
    <w:basedOn w:val="Normal"/>
    <w:next w:val="Normal"/>
    <w:autoRedefine/>
    <w:uiPriority w:val="41"/>
    <w:semiHidden/>
    <w:unhideWhenUsed/>
    <w:rsid w:val="00DE2100"/>
    <w:pPr>
      <w:ind w:left="1680"/>
    </w:pPr>
    <w:rPr>
      <w:sz w:val="20"/>
      <w:szCs w:val="20"/>
    </w:rPr>
  </w:style>
  <w:style w:type="paragraph" w:styleId="TOC9">
    <w:name w:val="toc 9"/>
    <w:basedOn w:val="Normal"/>
    <w:next w:val="Normal"/>
    <w:autoRedefine/>
    <w:uiPriority w:val="41"/>
    <w:semiHidden/>
    <w:unhideWhenUsed/>
    <w:rsid w:val="00DE2100"/>
    <w:pPr>
      <w:ind w:left="1920"/>
    </w:pPr>
    <w:rPr>
      <w:sz w:val="20"/>
      <w:szCs w:val="20"/>
    </w:rPr>
  </w:style>
  <w:style w:type="paragraph" w:styleId="Title">
    <w:name w:val="Title"/>
    <w:basedOn w:val="Normal"/>
    <w:next w:val="Normal"/>
    <w:link w:val="TitleChar"/>
    <w:uiPriority w:val="36"/>
    <w:unhideWhenUsed/>
    <w:qFormat/>
    <w:rsid w:val="00DE2100"/>
    <w:pPr>
      <w:suppressAutoHyphens/>
      <w:spacing w:line="216" w:lineRule="auto"/>
    </w:pPr>
    <w:rPr>
      <w:rFonts w:cs="CenturyGothic"/>
      <w:color w:val="FFFFFF" w:themeColor="background1"/>
      <w:sz w:val="58"/>
      <w:szCs w:val="50"/>
    </w:rPr>
  </w:style>
  <w:style w:type="character" w:customStyle="1" w:styleId="TitleChar">
    <w:name w:val="Title Char"/>
    <w:basedOn w:val="DefaultParagraphFont"/>
    <w:link w:val="Title"/>
    <w:uiPriority w:val="36"/>
    <w:rsid w:val="00DE2100"/>
    <w:rPr>
      <w:rFonts w:cs="CenturyGothic"/>
      <w:color w:val="FFFFFF" w:themeColor="background1"/>
      <w:sz w:val="58"/>
      <w:szCs w:val="50"/>
    </w:rPr>
  </w:style>
  <w:style w:type="paragraph" w:styleId="Subtitle">
    <w:name w:val="Subtitle"/>
    <w:basedOn w:val="Normal"/>
    <w:next w:val="Normal"/>
    <w:link w:val="SubtitleChar"/>
    <w:uiPriority w:val="37"/>
    <w:unhideWhenUsed/>
    <w:qFormat/>
    <w:rsid w:val="00DE2100"/>
    <w:pPr>
      <w:suppressAutoHyphens/>
      <w:spacing w:before="160" w:line="240" w:lineRule="auto"/>
    </w:pPr>
    <w:rPr>
      <w:rFonts w:cs="CenturyGothic"/>
      <w:b/>
      <w:caps/>
      <w:color w:val="FFFFFF" w:themeColor="background1"/>
      <w:spacing w:val="20"/>
      <w:sz w:val="32"/>
      <w:szCs w:val="38"/>
      <w:lang w:eastAsia="en-US"/>
    </w:rPr>
  </w:style>
  <w:style w:type="character" w:customStyle="1" w:styleId="SubtitleChar">
    <w:name w:val="Subtitle Char"/>
    <w:basedOn w:val="DefaultParagraphFont"/>
    <w:link w:val="Subtitle"/>
    <w:uiPriority w:val="37"/>
    <w:rsid w:val="00DE2100"/>
    <w:rPr>
      <w:rFonts w:cs="CenturyGothic"/>
      <w:b/>
      <w:caps/>
      <w:color w:val="FFFFFF" w:themeColor="background1"/>
      <w:spacing w:val="20"/>
      <w:sz w:val="32"/>
      <w:szCs w:val="38"/>
      <w:lang w:eastAsia="en-US"/>
    </w:rPr>
  </w:style>
  <w:style w:type="character" w:customStyle="1" w:styleId="Heading2Char">
    <w:name w:val="Heading 2 Char"/>
    <w:basedOn w:val="DefaultParagraphFont"/>
    <w:link w:val="Heading2"/>
    <w:uiPriority w:val="3"/>
    <w:rsid w:val="00DE2100"/>
    <w:rPr>
      <w:rFonts w:eastAsiaTheme="majorEastAsia" w:cstheme="majorBidi"/>
      <w:bCs/>
      <w:color w:val="404040" w:themeColor="text1" w:themeTint="BF"/>
      <w:sz w:val="41"/>
      <w:szCs w:val="41"/>
      <w:lang w:eastAsia="en-US"/>
    </w:rPr>
  </w:style>
  <w:style w:type="character" w:customStyle="1" w:styleId="Heading3Char">
    <w:name w:val="Heading 3 Char"/>
    <w:basedOn w:val="DefaultParagraphFont"/>
    <w:link w:val="Heading3"/>
    <w:uiPriority w:val="3"/>
    <w:rsid w:val="00DE2100"/>
    <w:rPr>
      <w:rFonts w:eastAsiaTheme="majorEastAsia" w:cstheme="majorBidi"/>
      <w:b/>
      <w:bCs/>
      <w:color w:val="404040" w:themeColor="text1" w:themeTint="BF"/>
      <w:spacing w:val="4"/>
      <w:sz w:val="34"/>
      <w:szCs w:val="34"/>
      <w:lang w:eastAsia="en-US"/>
    </w:rPr>
  </w:style>
  <w:style w:type="character" w:customStyle="1" w:styleId="Heading4Char">
    <w:name w:val="Heading 4 Char"/>
    <w:basedOn w:val="DefaultParagraphFont"/>
    <w:link w:val="Heading4"/>
    <w:uiPriority w:val="3"/>
    <w:rsid w:val="00DE2100"/>
    <w:rPr>
      <w:rFonts w:eastAsiaTheme="majorEastAsia" w:cstheme="majorBidi"/>
      <w:b/>
      <w:bCs/>
      <w:iCs/>
      <w:color w:val="2297AA" w:themeColor="accent2"/>
      <w:sz w:val="29"/>
      <w:szCs w:val="29"/>
      <w:lang w:val="en-CA" w:eastAsia="en-US"/>
    </w:rPr>
  </w:style>
  <w:style w:type="character" w:styleId="SubtleEmphasis">
    <w:name w:val="Subtle Emphasis"/>
    <w:uiPriority w:val="20"/>
    <w:semiHidden/>
    <w:unhideWhenUsed/>
    <w:qFormat/>
    <w:rsid w:val="00DE2100"/>
    <w:rPr>
      <w:rFonts w:ascii="Calibri" w:hAnsi="Calibri" w:cs="CenturyGothic-Bold"/>
      <w:b w:val="0"/>
      <w:bCs/>
      <w:i/>
      <w:color w:val="2297AA" w:themeColor="accent2"/>
      <w:spacing w:val="5"/>
      <w:sz w:val="22"/>
      <w:szCs w:val="26"/>
    </w:rPr>
  </w:style>
  <w:style w:type="character" w:styleId="IntenseEmphasis">
    <w:name w:val="Intense Emphasis"/>
    <w:basedOn w:val="DefaultParagraphFont"/>
    <w:uiPriority w:val="21"/>
    <w:unhideWhenUsed/>
    <w:rsid w:val="00DE2100"/>
    <w:rPr>
      <w:b/>
      <w:i/>
      <w:iCs/>
      <w:color w:val="1B3D6F" w:themeColor="accent1"/>
      <w:sz w:val="24"/>
    </w:rPr>
  </w:style>
  <w:style w:type="character" w:styleId="Hyperlink">
    <w:name w:val="Hyperlink"/>
    <w:basedOn w:val="DefaultParagraphFont"/>
    <w:uiPriority w:val="99"/>
    <w:unhideWhenUsed/>
    <w:rsid w:val="00DE2100"/>
    <w:rPr>
      <w:color w:val="2297AA" w:themeColor="accent2"/>
      <w:u w:val="single"/>
    </w:rPr>
  </w:style>
  <w:style w:type="paragraph" w:styleId="FootnoteText">
    <w:name w:val="footnote text"/>
    <w:basedOn w:val="Normal"/>
    <w:link w:val="FootnoteTextChar"/>
    <w:uiPriority w:val="99"/>
    <w:unhideWhenUsed/>
    <w:qFormat/>
    <w:rsid w:val="00DE2100"/>
    <w:pPr>
      <w:tabs>
        <w:tab w:val="left" w:pos="360"/>
      </w:tabs>
      <w:spacing w:before="60" w:line="240" w:lineRule="auto"/>
      <w:ind w:left="288" w:hanging="288"/>
    </w:pPr>
    <w:rPr>
      <w:rFonts w:eastAsia="PMingLiU" w:cs="Times New Roman"/>
      <w:color w:val="000000" w:themeColor="text1"/>
      <w:sz w:val="20"/>
      <w:szCs w:val="23"/>
      <w:lang w:eastAsia="en-US"/>
    </w:rPr>
  </w:style>
  <w:style w:type="character" w:customStyle="1" w:styleId="FootnoteTextChar">
    <w:name w:val="Footnote Text Char"/>
    <w:basedOn w:val="DefaultParagraphFont"/>
    <w:link w:val="FootnoteText"/>
    <w:uiPriority w:val="99"/>
    <w:rsid w:val="00DE2100"/>
    <w:rPr>
      <w:rFonts w:eastAsia="PMingLiU" w:cs="Times New Roman"/>
      <w:color w:val="000000" w:themeColor="text1"/>
      <w:sz w:val="20"/>
      <w:szCs w:val="23"/>
      <w:lang w:eastAsia="en-US"/>
    </w:rPr>
  </w:style>
  <w:style w:type="character" w:styleId="FootnoteReference">
    <w:name w:val="footnote reference"/>
    <w:basedOn w:val="DefaultParagraphFont"/>
    <w:uiPriority w:val="31"/>
    <w:unhideWhenUsed/>
    <w:qFormat/>
    <w:rsid w:val="00DE2100"/>
    <w:rPr>
      <w:rFonts w:asciiTheme="majorHAnsi" w:hAnsiTheme="majorHAnsi"/>
      <w:b w:val="0"/>
      <w:color w:val="000000" w:themeColor="text1"/>
      <w:vertAlign w:val="superscript"/>
    </w:rPr>
  </w:style>
  <w:style w:type="paragraph" w:styleId="Quote">
    <w:name w:val="Quote"/>
    <w:basedOn w:val="Normal"/>
    <w:next w:val="Paragraph"/>
    <w:link w:val="QuoteChar"/>
    <w:uiPriority w:val="13"/>
    <w:unhideWhenUsed/>
    <w:qFormat/>
    <w:rsid w:val="00DE2100"/>
    <w:pPr>
      <w:pBdr>
        <w:left w:val="single" w:sz="18" w:space="18" w:color="F26A25" w:themeColor="accent5"/>
      </w:pBdr>
      <w:shd w:val="clear" w:color="auto" w:fill="FFFFFF" w:themeFill="background1"/>
      <w:spacing w:before="360" w:after="360"/>
      <w:ind w:left="720" w:right="1080"/>
    </w:pPr>
    <w:rPr>
      <w:iCs/>
      <w:color w:val="404040" w:themeColor="text1" w:themeTint="BF"/>
      <w:sz w:val="29"/>
      <w:szCs w:val="23"/>
      <w:lang w:eastAsia="en-US"/>
    </w:rPr>
  </w:style>
  <w:style w:type="character" w:customStyle="1" w:styleId="QuoteChar">
    <w:name w:val="Quote Char"/>
    <w:basedOn w:val="DefaultParagraphFont"/>
    <w:link w:val="Quote"/>
    <w:uiPriority w:val="13"/>
    <w:rsid w:val="00DE2100"/>
    <w:rPr>
      <w:iCs/>
      <w:color w:val="404040" w:themeColor="text1" w:themeTint="BF"/>
      <w:sz w:val="29"/>
      <w:szCs w:val="23"/>
      <w:shd w:val="clear" w:color="auto" w:fill="FFFFFF" w:themeFill="background1"/>
      <w:lang w:eastAsia="en-US"/>
    </w:rPr>
  </w:style>
  <w:style w:type="character" w:styleId="CommentReference">
    <w:name w:val="annotation reference"/>
    <w:basedOn w:val="DefaultParagraphFont"/>
    <w:uiPriority w:val="99"/>
    <w:semiHidden/>
    <w:unhideWhenUsed/>
    <w:rsid w:val="00DE2100"/>
    <w:rPr>
      <w:sz w:val="16"/>
      <w:szCs w:val="16"/>
    </w:rPr>
  </w:style>
  <w:style w:type="paragraph" w:styleId="CommentSubject">
    <w:name w:val="annotation subject"/>
    <w:basedOn w:val="Normal"/>
    <w:next w:val="Normal"/>
    <w:link w:val="CommentSubjectChar"/>
    <w:uiPriority w:val="99"/>
    <w:semiHidden/>
    <w:unhideWhenUsed/>
    <w:rsid w:val="00DE2100"/>
    <w:rPr>
      <w:b/>
      <w:bCs/>
      <w:sz w:val="20"/>
      <w:szCs w:val="20"/>
    </w:rPr>
  </w:style>
  <w:style w:type="character" w:customStyle="1" w:styleId="CommentSubjectChar">
    <w:name w:val="Comment Subject Char"/>
    <w:basedOn w:val="DefaultParagraphFont"/>
    <w:link w:val="CommentSubject"/>
    <w:uiPriority w:val="99"/>
    <w:semiHidden/>
    <w:rsid w:val="00DE2100"/>
    <w:rPr>
      <w:b/>
      <w:bCs/>
      <w:sz w:val="20"/>
      <w:szCs w:val="20"/>
    </w:rPr>
  </w:style>
  <w:style w:type="paragraph" w:styleId="ListParagraph">
    <w:name w:val="List Paragraph"/>
    <w:basedOn w:val="Normal"/>
    <w:uiPriority w:val="34"/>
    <w:unhideWhenUsed/>
    <w:qFormat/>
    <w:rsid w:val="00DE2100"/>
    <w:pPr>
      <w:spacing w:before="120"/>
      <w:ind w:left="360" w:hanging="360"/>
    </w:pPr>
  </w:style>
  <w:style w:type="table" w:styleId="TableGrid">
    <w:name w:val="Table Grid"/>
    <w:basedOn w:val="TableNormal"/>
    <w:unhideWhenUsed/>
    <w:rsid w:val="00DE2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
    <w:name w:val="Blue Table"/>
    <w:basedOn w:val="TableNormal"/>
    <w:uiPriority w:val="99"/>
    <w:unhideWhenUsed/>
    <w:rsid w:val="00DE2100"/>
    <w:rPr>
      <w:color w:val="000000" w:themeColor="text1" w:themeShade="BF"/>
      <w:sz w:val="20"/>
    </w:rPr>
    <w:tblPr>
      <w:tblStyleRowBandSize w:val="1"/>
    </w:tblPr>
    <w:tcPr>
      <w:shd w:val="clear" w:color="auto" w:fill="F2F2F2" w:themeFill="background1" w:themeFillShade="F2"/>
    </w:tcPr>
    <w:tblStylePr w:type="firstRow">
      <w:pPr>
        <w:wordWrap/>
        <w:jc w:val="left"/>
      </w:pPr>
      <w:rPr>
        <w:color w:val="FFFFFF" w:themeColor="background1"/>
      </w:rPr>
      <w:tblPr/>
      <w:tcPr>
        <w:shd w:val="clear" w:color="auto" w:fill="1B3D6F" w:themeFill="accent1"/>
        <w:vAlign w:val="center"/>
      </w:tcPr>
    </w:tblStylePr>
    <w:tblStylePr w:type="lastRow">
      <w:tblPr/>
      <w:tcPr>
        <w:shd w:val="clear" w:color="auto" w:fill="000000" w:themeFill="text1"/>
      </w:tcPr>
    </w:tblStylePr>
    <w:tblStylePr w:type="band1Horz">
      <w:tblPr/>
      <w:tcPr>
        <w:shd w:val="clear" w:color="auto" w:fill="E8E8E8"/>
      </w:tcPr>
    </w:tblStylePr>
  </w:style>
  <w:style w:type="character" w:styleId="FollowedHyperlink">
    <w:name w:val="FollowedHyperlink"/>
    <w:basedOn w:val="DefaultParagraphFont"/>
    <w:uiPriority w:val="99"/>
    <w:semiHidden/>
    <w:unhideWhenUsed/>
    <w:rsid w:val="00DE2100"/>
    <w:rPr>
      <w:color w:val="CD3E71" w:themeColor="followedHyperlink"/>
      <w:u w:val="single"/>
    </w:rPr>
  </w:style>
  <w:style w:type="paragraph" w:styleId="Revision">
    <w:name w:val="Revision"/>
    <w:hidden/>
    <w:uiPriority w:val="99"/>
    <w:semiHidden/>
    <w:rsid w:val="00DE2100"/>
    <w:pPr>
      <w:spacing w:line="240" w:lineRule="auto"/>
    </w:pPr>
    <w:rPr>
      <w:rFonts w:ascii="Sylfaen" w:hAnsi="Sylfaen" w:cs="Times New Roman"/>
      <w:color w:val="000000"/>
      <w:sz w:val="23"/>
      <w:szCs w:val="23"/>
      <w:lang w:eastAsia="en-US"/>
    </w:rPr>
  </w:style>
  <w:style w:type="table" w:styleId="LightList-Accent5">
    <w:name w:val="Light List Accent 5"/>
    <w:basedOn w:val="TableNormal"/>
    <w:uiPriority w:val="61"/>
    <w:unhideWhenUsed/>
    <w:rsid w:val="00DE2100"/>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tblBorders>
    </w:tblPr>
    <w:tblStylePr w:type="firstRow">
      <w:pPr>
        <w:spacing w:before="0" w:after="0" w:line="240" w:lineRule="auto"/>
      </w:pPr>
      <w:rPr>
        <w:b/>
        <w:bCs/>
        <w:color w:val="FFFFFF" w:themeColor="background1"/>
      </w:rPr>
      <w:tblPr/>
      <w:tcPr>
        <w:shd w:val="clear" w:color="auto" w:fill="F26A25" w:themeFill="accent5"/>
      </w:tcPr>
    </w:tblStylePr>
    <w:tblStylePr w:type="lastRow">
      <w:pPr>
        <w:spacing w:before="0" w:after="0" w:line="240" w:lineRule="auto"/>
      </w:pPr>
      <w:rPr>
        <w:b/>
        <w:bCs/>
      </w:rPr>
      <w:tblPr/>
      <w:tcPr>
        <w:tcBorders>
          <w:top w:val="double" w:sz="6" w:space="0" w:color="F26A25" w:themeColor="accent5"/>
          <w:left w:val="single" w:sz="8" w:space="0" w:color="F26A25" w:themeColor="accent5"/>
          <w:bottom w:val="single" w:sz="8" w:space="0" w:color="F26A25" w:themeColor="accent5"/>
          <w:right w:val="single" w:sz="8" w:space="0" w:color="F26A25" w:themeColor="accent5"/>
        </w:tcBorders>
      </w:tcPr>
    </w:tblStylePr>
    <w:tblStylePr w:type="firstCol">
      <w:rPr>
        <w:b/>
        <w:bCs/>
      </w:rPr>
    </w:tblStylePr>
    <w:tblStylePr w:type="lastCol">
      <w:rPr>
        <w:b/>
        <w:bCs/>
      </w:rPr>
    </w:tblStylePr>
    <w:tblStylePr w:type="band1Vert">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tblStylePr w:type="band1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style>
  <w:style w:type="character" w:customStyle="1" w:styleId="Heading6Char">
    <w:name w:val="Heading 6 Char"/>
    <w:basedOn w:val="DefaultParagraphFont"/>
    <w:link w:val="Heading6"/>
    <w:uiPriority w:val="3"/>
    <w:rsid w:val="00DE2100"/>
    <w:rPr>
      <w:rFonts w:ascii="Calibri" w:eastAsia="MS Gothic" w:hAnsi="Calibri" w:cs="Times New Roman"/>
      <w:b/>
      <w:caps/>
      <w:color w:val="2297AA" w:themeColor="accent2"/>
      <w:spacing w:val="10"/>
      <w:sz w:val="24"/>
      <w:szCs w:val="15"/>
      <w:lang w:eastAsia="en-US"/>
    </w:rPr>
  </w:style>
  <w:style w:type="character" w:customStyle="1" w:styleId="Heading7Char">
    <w:name w:val="Heading 7 Char"/>
    <w:basedOn w:val="DefaultParagraphFont"/>
    <w:link w:val="Heading7"/>
    <w:uiPriority w:val="3"/>
    <w:semiHidden/>
    <w:rsid w:val="00DE2100"/>
    <w:rPr>
      <w:rFonts w:eastAsiaTheme="majorEastAsia" w:cstheme="majorBidi"/>
      <w:i/>
      <w:iCs/>
      <w:color w:val="404040" w:themeColor="text1" w:themeTint="BF"/>
      <w:sz w:val="24"/>
      <w:szCs w:val="23"/>
      <w:lang w:eastAsia="en-US"/>
    </w:rPr>
  </w:style>
  <w:style w:type="character" w:customStyle="1" w:styleId="Heading8Char">
    <w:name w:val="Heading 8 Char"/>
    <w:basedOn w:val="DefaultParagraphFont"/>
    <w:link w:val="Heading8"/>
    <w:uiPriority w:val="3"/>
    <w:semiHidden/>
    <w:rsid w:val="00DE2100"/>
    <w:rPr>
      <w:rFonts w:eastAsiaTheme="majorEastAsia" w:cstheme="majorBidi"/>
      <w:color w:val="404040" w:themeColor="text1" w:themeTint="BF"/>
      <w:sz w:val="24"/>
      <w:szCs w:val="23"/>
      <w:lang w:eastAsia="en-US"/>
    </w:rPr>
  </w:style>
  <w:style w:type="character" w:customStyle="1" w:styleId="Heading9Char">
    <w:name w:val="Heading 9 Char"/>
    <w:basedOn w:val="DefaultParagraphFont"/>
    <w:link w:val="Heading9"/>
    <w:uiPriority w:val="3"/>
    <w:semiHidden/>
    <w:rsid w:val="00DE2100"/>
    <w:rPr>
      <w:rFonts w:eastAsiaTheme="majorEastAsia" w:cstheme="majorBidi"/>
      <w:i/>
      <w:iCs/>
      <w:color w:val="404040" w:themeColor="text1" w:themeTint="BF"/>
      <w:sz w:val="24"/>
      <w:szCs w:val="23"/>
      <w:lang w:eastAsia="en-US"/>
    </w:rPr>
  </w:style>
  <w:style w:type="character" w:styleId="Emphasis">
    <w:name w:val="Emphasis"/>
    <w:basedOn w:val="DefaultParagraphFont"/>
    <w:uiPriority w:val="20"/>
    <w:unhideWhenUsed/>
    <w:qFormat/>
    <w:rsid w:val="00DE2100"/>
    <w:rPr>
      <w:rFonts w:asciiTheme="minorHAnsi" w:hAnsiTheme="minorHAnsi"/>
      <w:i/>
      <w:iCs/>
    </w:rPr>
  </w:style>
  <w:style w:type="table" w:styleId="MediumList1-Accent3">
    <w:name w:val="Medium List 1 Accent 3"/>
    <w:basedOn w:val="TableNormal"/>
    <w:uiPriority w:val="65"/>
    <w:semiHidden/>
    <w:unhideWhenUsed/>
    <w:rsid w:val="00DE2100"/>
    <w:rPr>
      <w:rFonts w:ascii="Sylfaen" w:hAnsi="Sylfaen"/>
      <w:color w:val="000000" w:themeColor="text1"/>
      <w:sz w:val="23"/>
      <w:szCs w:val="23"/>
      <w:lang w:eastAsia="en-US"/>
    </w:rPr>
    <w:tblPr>
      <w:tblStyleRowBandSize w:val="1"/>
      <w:tblStyleColBandSize w:val="1"/>
      <w:tblBorders>
        <w:top w:val="single" w:sz="8" w:space="0" w:color="37BA95" w:themeColor="accent3"/>
        <w:bottom w:val="single" w:sz="8" w:space="0" w:color="37BA95" w:themeColor="accent3"/>
      </w:tblBorders>
    </w:tblPr>
    <w:tblStylePr w:type="firstRow">
      <w:rPr>
        <w:rFonts w:asciiTheme="majorHAnsi" w:eastAsiaTheme="majorEastAsia" w:hAnsiTheme="majorHAnsi" w:cstheme="majorBidi"/>
      </w:rPr>
      <w:tblPr/>
      <w:tcPr>
        <w:tcBorders>
          <w:top w:val="nil"/>
          <w:bottom w:val="single" w:sz="8" w:space="0" w:color="37BA95" w:themeColor="accent3"/>
        </w:tcBorders>
      </w:tcPr>
    </w:tblStylePr>
    <w:tblStylePr w:type="lastRow">
      <w:rPr>
        <w:b/>
        <w:bCs/>
        <w:color w:val="002B54" w:themeColor="text2"/>
      </w:rPr>
      <w:tblPr/>
      <w:tcPr>
        <w:tcBorders>
          <w:top w:val="single" w:sz="8" w:space="0" w:color="37BA95" w:themeColor="accent3"/>
          <w:bottom w:val="single" w:sz="8" w:space="0" w:color="37BA95" w:themeColor="accent3"/>
        </w:tcBorders>
      </w:tcPr>
    </w:tblStylePr>
    <w:tblStylePr w:type="firstCol">
      <w:rPr>
        <w:b/>
        <w:bCs/>
      </w:rPr>
    </w:tblStylePr>
    <w:tblStylePr w:type="lastCol">
      <w:rPr>
        <w:b/>
        <w:bCs/>
      </w:rPr>
      <w:tblPr/>
      <w:tcPr>
        <w:tcBorders>
          <w:top w:val="single" w:sz="8" w:space="0" w:color="37BA95" w:themeColor="accent3"/>
          <w:bottom w:val="single" w:sz="8" w:space="0" w:color="37BA95" w:themeColor="accent3"/>
        </w:tcBorders>
      </w:tcPr>
    </w:tblStylePr>
    <w:tblStylePr w:type="band1Vert">
      <w:tblPr/>
      <w:tcPr>
        <w:shd w:val="clear" w:color="auto" w:fill="CBEFE5" w:themeFill="accent3" w:themeFillTint="3F"/>
      </w:tcPr>
    </w:tblStylePr>
    <w:tblStylePr w:type="band1Horz">
      <w:tblPr/>
      <w:tcPr>
        <w:shd w:val="clear" w:color="auto" w:fill="CBEFE5" w:themeFill="accent3" w:themeFillTint="3F"/>
      </w:tcPr>
    </w:tblStylePr>
  </w:style>
  <w:style w:type="table" w:styleId="ListTable4-Accent2">
    <w:name w:val="List Table 4 Accent 2"/>
    <w:basedOn w:val="TableNormal"/>
    <w:uiPriority w:val="49"/>
    <w:unhideWhenUsed/>
    <w:rsid w:val="00DE2100"/>
    <w:rPr>
      <w:rFonts w:eastAsia="SimSun"/>
      <w:lang w:eastAsia="zh-CN"/>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tblBorders>
    </w:tblPr>
    <w:tblStylePr w:type="firstRow">
      <w:rPr>
        <w:b/>
        <w:bCs/>
        <w:color w:val="FFFFFF" w:themeColor="background1"/>
      </w:rPr>
      <w:tblPr/>
      <w:tcPr>
        <w:tcBorders>
          <w:top w:val="single" w:sz="4" w:space="0" w:color="2297AA" w:themeColor="accent2"/>
          <w:left w:val="single" w:sz="4" w:space="0" w:color="2297AA" w:themeColor="accent2"/>
          <w:bottom w:val="single" w:sz="4" w:space="0" w:color="2297AA" w:themeColor="accent2"/>
          <w:right w:val="single" w:sz="4" w:space="0" w:color="2297AA" w:themeColor="accent2"/>
          <w:insideH w:val="nil"/>
        </w:tcBorders>
        <w:shd w:val="clear" w:color="auto" w:fill="2297AA" w:themeFill="accent2"/>
      </w:tcPr>
    </w:tblStylePr>
    <w:tblStylePr w:type="lastRow">
      <w:rPr>
        <w:b/>
        <w:bCs/>
      </w:rPr>
      <w:tblPr/>
      <w:tcPr>
        <w:tcBorders>
          <w:top w:val="doub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character" w:styleId="Strong">
    <w:name w:val="Strong"/>
    <w:basedOn w:val="DefaultParagraphFont"/>
    <w:uiPriority w:val="22"/>
    <w:unhideWhenUsed/>
    <w:qFormat/>
    <w:rsid w:val="00DE2100"/>
    <w:rPr>
      <w:rFonts w:asciiTheme="minorHAnsi" w:hAnsiTheme="minorHAnsi"/>
      <w:b/>
      <w:bCs/>
      <w:color w:val="000000" w:themeColor="text1" w:themeShade="80"/>
      <w:sz w:val="22"/>
    </w:rPr>
  </w:style>
  <w:style w:type="table" w:styleId="MediumShading1-Accent3">
    <w:name w:val="Medium Shading 1 Accent 3"/>
    <w:basedOn w:val="TableNormal"/>
    <w:uiPriority w:val="63"/>
    <w:unhideWhenUsed/>
    <w:rsid w:val="00DE2100"/>
    <w:pPr>
      <w:jc w:val="both"/>
    </w:pPr>
    <w:rPr>
      <w:rFonts w:ascii="Sylfaen" w:hAnsi="Sylfaen" w:cs="Times New Roman"/>
      <w:color w:val="302F35"/>
      <w:sz w:val="23"/>
      <w:szCs w:val="23"/>
      <w:lang w:eastAsia="en-US"/>
    </w:rPr>
    <w:tblPr>
      <w:tblStyleRowBandSize w:val="1"/>
      <w:tblStyleColBandSize w:val="1"/>
      <w:tbl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single" w:sz="8" w:space="0" w:color="63D1B1" w:themeColor="accent3" w:themeTint="BF"/>
      </w:tblBorders>
    </w:tblPr>
    <w:tblStylePr w:type="firstRow">
      <w:pPr>
        <w:spacing w:before="0" w:after="0" w:line="240" w:lineRule="auto"/>
      </w:pPr>
      <w:rPr>
        <w:b/>
        <w:bCs/>
        <w:color w:val="FFFFFF" w:themeColor="background1"/>
      </w:rPr>
      <w:tblPr/>
      <w:tcPr>
        <w:tc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nil"/>
          <w:insideV w:val="nil"/>
        </w:tcBorders>
        <w:shd w:val="clear" w:color="auto" w:fill="37BA95" w:themeFill="accent3"/>
      </w:tcPr>
    </w:tblStylePr>
    <w:tblStylePr w:type="lastRow">
      <w:pPr>
        <w:spacing w:before="0" w:after="0" w:line="240" w:lineRule="auto"/>
      </w:pPr>
      <w:rPr>
        <w:b/>
        <w:bCs/>
      </w:rPr>
      <w:tblPr/>
      <w:tcPr>
        <w:tcBorders>
          <w:top w:val="double" w:sz="6"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FE5" w:themeFill="accent3" w:themeFillTint="3F"/>
      </w:tcPr>
    </w:tblStylePr>
    <w:tblStylePr w:type="band1Horz">
      <w:tblPr/>
      <w:tcPr>
        <w:tcBorders>
          <w:insideH w:val="nil"/>
          <w:insideV w:val="nil"/>
        </w:tcBorders>
        <w:shd w:val="clear" w:color="auto" w:fill="CBEFE5" w:themeFill="accent3"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unhideWhenUsed/>
    <w:rsid w:val="00DE2100"/>
    <w:tblPr>
      <w:tblStyleRowBandSize w:val="1"/>
      <w:tblStyleColBandSize w:val="1"/>
      <w:tblBorders>
        <w:top w:val="single" w:sz="4" w:space="0" w:color="98DFEA" w:themeColor="accent2" w:themeTint="66"/>
        <w:left w:val="single" w:sz="4" w:space="0" w:color="98DFEA" w:themeColor="accent2" w:themeTint="66"/>
        <w:bottom w:val="single" w:sz="4" w:space="0" w:color="98DFEA" w:themeColor="accent2" w:themeTint="66"/>
        <w:right w:val="single" w:sz="4" w:space="0" w:color="98DFEA" w:themeColor="accent2" w:themeTint="66"/>
        <w:insideH w:val="single" w:sz="4" w:space="0" w:color="98DFEA" w:themeColor="accent2" w:themeTint="66"/>
        <w:insideV w:val="single" w:sz="4" w:space="0" w:color="98DFEA" w:themeColor="accent2" w:themeTint="66"/>
      </w:tblBorders>
    </w:tblPr>
    <w:tblStylePr w:type="firstRow">
      <w:rPr>
        <w:b/>
        <w:bCs/>
      </w:rPr>
      <w:tblPr/>
      <w:tcPr>
        <w:tcBorders>
          <w:bottom w:val="single" w:sz="12" w:space="0" w:color="65CFE0" w:themeColor="accent2" w:themeTint="99"/>
        </w:tcBorders>
      </w:tcPr>
    </w:tblStylePr>
    <w:tblStylePr w:type="lastRow">
      <w:rPr>
        <w:b/>
        <w:bCs/>
      </w:rPr>
      <w:tblPr/>
      <w:tcPr>
        <w:tcBorders>
          <w:top w:val="double" w:sz="2" w:space="0" w:color="65CFE0"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unhideWhenUsed/>
    <w:rsid w:val="00DE2100"/>
    <w:rPr>
      <w:color w:val="494F56" w:themeColor="background2"/>
    </w:rPr>
  </w:style>
  <w:style w:type="paragraph" w:customStyle="1" w:styleId="TableText">
    <w:name w:val="Table Text"/>
    <w:basedOn w:val="Normal"/>
    <w:uiPriority w:val="11"/>
    <w:unhideWhenUsed/>
    <w:qFormat/>
    <w:rsid w:val="00DE2100"/>
    <w:pPr>
      <w:spacing w:after="120" w:line="240" w:lineRule="auto"/>
    </w:pPr>
    <w:rPr>
      <w:rFonts w:eastAsia="PMingLiU"/>
      <w:color w:val="000000" w:themeColor="text1" w:themeShade="BF"/>
      <w:sz w:val="20"/>
    </w:rPr>
  </w:style>
  <w:style w:type="paragraph" w:customStyle="1" w:styleId="TableHeader">
    <w:name w:val="Table Header"/>
    <w:basedOn w:val="TableText"/>
    <w:uiPriority w:val="11"/>
    <w:unhideWhenUsed/>
    <w:qFormat/>
    <w:rsid w:val="00DE2100"/>
    <w:pPr>
      <w:spacing w:line="216" w:lineRule="auto"/>
      <w:jc w:val="center"/>
    </w:pPr>
    <w:rPr>
      <w:b/>
      <w:color w:val="FFFFFF" w:themeColor="background1"/>
      <w:sz w:val="22"/>
      <w:lang w:val="en-CA"/>
    </w:rPr>
  </w:style>
  <w:style w:type="paragraph" w:customStyle="1" w:styleId="TableTextBulleted">
    <w:name w:val="Table Text Bulleted"/>
    <w:basedOn w:val="TableText"/>
    <w:uiPriority w:val="11"/>
    <w:unhideWhenUsed/>
    <w:qFormat/>
    <w:rsid w:val="00DE2100"/>
    <w:pPr>
      <w:numPr>
        <w:numId w:val="32"/>
      </w:numPr>
    </w:pPr>
    <w:rPr>
      <w:rFonts w:asciiTheme="majorHAnsi" w:hAnsiTheme="majorHAnsi" w:cs="Calibri"/>
      <w:lang w:val="en-CA"/>
    </w:rPr>
  </w:style>
  <w:style w:type="paragraph" w:customStyle="1" w:styleId="FootnoteSeparator">
    <w:name w:val="Footnote Separator"/>
    <w:basedOn w:val="Normal"/>
    <w:uiPriority w:val="31"/>
    <w:unhideWhenUsed/>
    <w:qFormat/>
    <w:rsid w:val="00DE2100"/>
    <w:pPr>
      <w:pBdr>
        <w:top w:val="single" w:sz="4" w:space="6" w:color="D8DBDE" w:themeColor="background2" w:themeTint="33"/>
      </w:pBdr>
      <w:spacing w:line="80" w:lineRule="exact"/>
    </w:pPr>
    <w:rPr>
      <w:rFonts w:ascii="Calibri" w:eastAsiaTheme="minorEastAsia" w:hAnsi="Calibri"/>
      <w:color w:val="CCCCCC" w:themeColor="text1" w:themeTint="33"/>
    </w:rPr>
  </w:style>
  <w:style w:type="paragraph" w:customStyle="1" w:styleId="FigureSource">
    <w:name w:val="Figure Source"/>
    <w:basedOn w:val="Normal"/>
    <w:next w:val="Paragraph"/>
    <w:uiPriority w:val="12"/>
    <w:unhideWhenUsed/>
    <w:qFormat/>
    <w:rsid w:val="00DE2100"/>
    <w:pPr>
      <w:spacing w:before="20" w:line="240" w:lineRule="auto"/>
    </w:pPr>
    <w:rPr>
      <w:rFonts w:ascii="Calibri" w:eastAsia="PMingLiU" w:hAnsi="Calibri"/>
      <w:color w:val="404040" w:themeColor="text1" w:themeTint="BF"/>
      <w:sz w:val="20"/>
      <w:lang w:eastAsia="en-US"/>
    </w:rPr>
  </w:style>
  <w:style w:type="paragraph" w:customStyle="1" w:styleId="FigureSourceBullets">
    <w:name w:val="Figure Source Bullets"/>
    <w:basedOn w:val="FigureSource"/>
    <w:uiPriority w:val="12"/>
    <w:unhideWhenUsed/>
    <w:qFormat/>
    <w:rsid w:val="00DE2100"/>
    <w:pPr>
      <w:numPr>
        <w:numId w:val="19"/>
      </w:numPr>
    </w:pPr>
    <w:rPr>
      <w:lang w:val="en-CA"/>
    </w:rPr>
  </w:style>
  <w:style w:type="paragraph" w:customStyle="1" w:styleId="Heading1Separator">
    <w:name w:val="Heading 1 Separator _____________________"/>
    <w:basedOn w:val="Normal"/>
    <w:next w:val="Paragraph"/>
    <w:uiPriority w:val="2"/>
    <w:unhideWhenUsed/>
    <w:rsid w:val="00DE2100"/>
    <w:pPr>
      <w:tabs>
        <w:tab w:val="left" w:leader="underscore" w:pos="2160"/>
      </w:tabs>
      <w:suppressAutoHyphens/>
      <w:spacing w:after="480" w:line="240" w:lineRule="auto"/>
      <w:ind w:left="720"/>
    </w:pPr>
    <w:rPr>
      <w:rFonts w:cstheme="majorHAnsi"/>
      <w:b/>
      <w:color w:val="2297AA" w:themeColor="accent2"/>
      <w:spacing w:val="-20"/>
      <w:sz w:val="32"/>
      <w:szCs w:val="32"/>
      <w:lang w:val="en-CA"/>
    </w:rPr>
  </w:style>
  <w:style w:type="character" w:styleId="IntenseReference">
    <w:name w:val="Intense Reference"/>
    <w:basedOn w:val="DefaultParagraphFont"/>
    <w:uiPriority w:val="24"/>
    <w:unhideWhenUsed/>
    <w:qFormat/>
    <w:rsid w:val="00DE2100"/>
    <w:rPr>
      <w:rFonts w:asciiTheme="minorHAnsi" w:hAnsiTheme="minorHAnsi"/>
      <w:b/>
      <w:bCs/>
      <w:caps/>
      <w:smallCaps w:val="0"/>
      <w:color w:val="000000" w:themeColor="text1" w:themeShade="80"/>
      <w:spacing w:val="10"/>
      <w:sz w:val="20"/>
    </w:rPr>
  </w:style>
  <w:style w:type="character" w:styleId="SubtleReference">
    <w:name w:val="Subtle Reference"/>
    <w:basedOn w:val="DefaultParagraphFont"/>
    <w:uiPriority w:val="23"/>
    <w:semiHidden/>
    <w:unhideWhenUsed/>
    <w:qFormat/>
    <w:rsid w:val="00DE2100"/>
    <w:rPr>
      <w:rFonts w:asciiTheme="minorHAnsi" w:hAnsiTheme="minorHAnsi"/>
      <w:b w:val="0"/>
      <w:i w:val="0"/>
      <w:caps/>
      <w:smallCaps w:val="0"/>
      <w:color w:val="2297AA" w:themeColor="accent2"/>
      <w:spacing w:val="6"/>
    </w:rPr>
  </w:style>
  <w:style w:type="paragraph" w:customStyle="1" w:styleId="CalloutHeader">
    <w:name w:val="Callout Header"/>
    <w:basedOn w:val="Normal"/>
    <w:uiPriority w:val="17"/>
    <w:unhideWhenUsed/>
    <w:qFormat/>
    <w:rsid w:val="00DE2100"/>
    <w:pPr>
      <w:jc w:val="center"/>
    </w:pPr>
    <w:rPr>
      <w:rFonts w:eastAsia="Times New Roman" w:cstheme="minorHAnsi"/>
      <w:b/>
      <w:bCs/>
      <w:caps/>
      <w:color w:val="FFFFFF" w:themeColor="background1"/>
      <w:spacing w:val="12"/>
      <w:sz w:val="28"/>
      <w:szCs w:val="28"/>
      <w:lang w:val="en-CA"/>
    </w:rPr>
  </w:style>
  <w:style w:type="paragraph" w:customStyle="1" w:styleId="CalloutText">
    <w:name w:val="Callout Text"/>
    <w:basedOn w:val="Normal"/>
    <w:uiPriority w:val="17"/>
    <w:unhideWhenUsed/>
    <w:qFormat/>
    <w:rsid w:val="00DE2100"/>
    <w:pPr>
      <w:spacing w:after="240"/>
    </w:pPr>
    <w:rPr>
      <w:rFonts w:cstheme="minorHAnsi"/>
      <w:b/>
      <w:color w:val="FFFFFF" w:themeColor="background1"/>
      <w:lang w:val="en-CA"/>
    </w:rPr>
  </w:style>
  <w:style w:type="paragraph" w:customStyle="1" w:styleId="CalloutBullets">
    <w:name w:val="Callout Bullets"/>
    <w:basedOn w:val="CalloutText"/>
    <w:uiPriority w:val="17"/>
    <w:unhideWhenUsed/>
    <w:qFormat/>
    <w:rsid w:val="00DE2100"/>
    <w:pPr>
      <w:numPr>
        <w:numId w:val="18"/>
      </w:numPr>
      <w:spacing w:line="264" w:lineRule="auto"/>
      <w:ind w:right="604"/>
    </w:pPr>
    <w:rPr>
      <w:szCs w:val="24"/>
    </w:rPr>
  </w:style>
  <w:style w:type="paragraph" w:customStyle="1" w:styleId="TableHeaderNumbered">
    <w:name w:val="Table Header Numbered"/>
    <w:basedOn w:val="TableHeader"/>
    <w:uiPriority w:val="11"/>
    <w:unhideWhenUsed/>
    <w:qFormat/>
    <w:rsid w:val="00DE2100"/>
    <w:pPr>
      <w:numPr>
        <w:numId w:val="31"/>
      </w:numPr>
      <w:jc w:val="left"/>
    </w:pPr>
    <w:rPr>
      <w:bCs/>
    </w:rPr>
  </w:style>
  <w:style w:type="paragraph" w:customStyle="1" w:styleId="TitlePageElements">
    <w:name w:val="Title Page Elements"/>
    <w:basedOn w:val="Heading6"/>
    <w:uiPriority w:val="99"/>
    <w:semiHidden/>
    <w:unhideWhenUsed/>
    <w:qFormat/>
    <w:rsid w:val="00DE2100"/>
    <w:pPr>
      <w:spacing w:before="80" w:after="80" w:line="320" w:lineRule="exact"/>
      <w:outlineLvl w:val="9"/>
    </w:pPr>
    <w:rPr>
      <w:i/>
      <w:caps w:val="0"/>
      <w:color w:val="494F56" w:themeColor="background2"/>
      <w:sz w:val="18"/>
      <w:lang w:eastAsia="zh-TW"/>
    </w:rPr>
  </w:style>
  <w:style w:type="character" w:customStyle="1" w:styleId="NuclearOption">
    <w:name w:val="Nuclear Option"/>
    <w:basedOn w:val="DefaultParagraphFont"/>
    <w:uiPriority w:val="25"/>
    <w:unhideWhenUsed/>
    <w:qFormat/>
    <w:rsid w:val="00DE2100"/>
    <w:rPr>
      <w:b/>
      <w:caps/>
      <w:color w:val="E7474B"/>
      <w:spacing w:val="10"/>
      <w:sz w:val="20"/>
      <w:szCs w:val="18"/>
    </w:rPr>
  </w:style>
  <w:style w:type="paragraph" w:customStyle="1" w:styleId="Paragraph">
    <w:name w:val="Paragraph"/>
    <w:basedOn w:val="Normal"/>
    <w:uiPriority w:val="3"/>
    <w:unhideWhenUsed/>
    <w:qFormat/>
    <w:rsid w:val="00DE2100"/>
    <w:pPr>
      <w:spacing w:before="240"/>
    </w:pPr>
    <w:rPr>
      <w:lang w:val="en-CA"/>
    </w:rPr>
  </w:style>
  <w:style w:type="paragraph" w:customStyle="1" w:styleId="ParagraphNumbered">
    <w:name w:val="Paragraph Numbered"/>
    <w:basedOn w:val="Paragraph"/>
    <w:uiPriority w:val="3"/>
    <w:unhideWhenUsed/>
    <w:qFormat/>
    <w:rsid w:val="00DE2100"/>
    <w:pPr>
      <w:numPr>
        <w:numId w:val="30"/>
      </w:numPr>
    </w:pPr>
  </w:style>
  <w:style w:type="paragraph" w:styleId="EndnoteText">
    <w:name w:val="endnote text"/>
    <w:basedOn w:val="Normal"/>
    <w:link w:val="EndnoteTextChar"/>
    <w:uiPriority w:val="99"/>
    <w:semiHidden/>
    <w:unhideWhenUsed/>
    <w:rsid w:val="00DE2100"/>
    <w:pPr>
      <w:spacing w:line="240" w:lineRule="auto"/>
    </w:pPr>
    <w:rPr>
      <w:sz w:val="20"/>
      <w:szCs w:val="20"/>
    </w:rPr>
  </w:style>
  <w:style w:type="character" w:customStyle="1" w:styleId="EndnoteTextChar">
    <w:name w:val="Endnote Text Char"/>
    <w:basedOn w:val="DefaultParagraphFont"/>
    <w:link w:val="EndnoteText"/>
    <w:uiPriority w:val="99"/>
    <w:semiHidden/>
    <w:rsid w:val="00DE2100"/>
    <w:rPr>
      <w:sz w:val="20"/>
      <w:szCs w:val="20"/>
    </w:rPr>
  </w:style>
  <w:style w:type="character" w:styleId="EndnoteReference">
    <w:name w:val="endnote reference"/>
    <w:basedOn w:val="DefaultParagraphFont"/>
    <w:uiPriority w:val="99"/>
    <w:semiHidden/>
    <w:unhideWhenUsed/>
    <w:rsid w:val="00DE2100"/>
    <w:rPr>
      <w:vertAlign w:val="superscript"/>
    </w:rPr>
  </w:style>
  <w:style w:type="paragraph" w:customStyle="1" w:styleId="CompanyAuthorName">
    <w:name w:val="Company Author Name"/>
    <w:basedOn w:val="Normal"/>
    <w:link w:val="CompanyAuthorNameChar"/>
    <w:uiPriority w:val="38"/>
    <w:unhideWhenUsed/>
    <w:qFormat/>
    <w:rsid w:val="00DE2100"/>
    <w:pPr>
      <w:spacing w:line="240" w:lineRule="auto"/>
    </w:pPr>
    <w:rPr>
      <w:rFonts w:cstheme="minorHAnsi"/>
      <w:color w:val="FFFFFF" w:themeColor="background1"/>
      <w:sz w:val="32"/>
      <w:szCs w:val="32"/>
    </w:rPr>
  </w:style>
  <w:style w:type="paragraph" w:customStyle="1" w:styleId="CoverDate">
    <w:name w:val="Cover Date"/>
    <w:basedOn w:val="Normal"/>
    <w:link w:val="CoverDateChar"/>
    <w:autoRedefine/>
    <w:uiPriority w:val="38"/>
    <w:semiHidden/>
    <w:unhideWhenUsed/>
    <w:qFormat/>
    <w:rsid w:val="00DE2100"/>
    <w:pPr>
      <w:spacing w:before="840" w:line="240" w:lineRule="auto"/>
      <w:jc w:val="both"/>
    </w:pPr>
    <w:rPr>
      <w:rFonts w:cstheme="minorHAnsi"/>
      <w:b/>
      <w:caps/>
      <w:color w:val="FFFFFF" w:themeColor="background1"/>
      <w:spacing w:val="6"/>
      <w:szCs w:val="32"/>
      <w14:textFill>
        <w14:solidFill>
          <w14:schemeClr w14:val="bg1">
            <w14:alpha w14:val="30000"/>
          </w14:schemeClr>
        </w14:solidFill>
      </w14:textFill>
    </w:rPr>
  </w:style>
  <w:style w:type="character" w:customStyle="1" w:styleId="CompanyAuthorNameChar">
    <w:name w:val="Company Author Name Char"/>
    <w:basedOn w:val="DefaultParagraphFont"/>
    <w:link w:val="CompanyAuthorName"/>
    <w:uiPriority w:val="38"/>
    <w:rsid w:val="00DE2100"/>
    <w:rPr>
      <w:rFonts w:cstheme="minorHAnsi"/>
      <w:color w:val="FFFFFF" w:themeColor="background1"/>
      <w:sz w:val="32"/>
      <w:szCs w:val="32"/>
    </w:rPr>
  </w:style>
  <w:style w:type="character" w:customStyle="1" w:styleId="CoverDateChar">
    <w:name w:val="Cover Date Char"/>
    <w:basedOn w:val="DefaultParagraphFont"/>
    <w:link w:val="CoverDate"/>
    <w:uiPriority w:val="38"/>
    <w:semiHidden/>
    <w:rsid w:val="00DE2100"/>
    <w:rPr>
      <w:rFonts w:cstheme="minorHAnsi"/>
      <w:b/>
      <w:caps/>
      <w:color w:val="FFFFFF" w:themeColor="background1"/>
      <w:spacing w:val="6"/>
      <w:sz w:val="24"/>
      <w:szCs w:val="32"/>
      <w14:textFill>
        <w14:solidFill>
          <w14:schemeClr w14:val="bg1">
            <w14:alpha w14:val="30000"/>
          </w14:schemeClr>
        </w14:solidFill>
      </w14:textFill>
    </w:rPr>
  </w:style>
  <w:style w:type="character" w:customStyle="1" w:styleId="Heading5Char">
    <w:name w:val="Heading 5 Char"/>
    <w:basedOn w:val="DefaultParagraphFont"/>
    <w:link w:val="Heading5"/>
    <w:uiPriority w:val="3"/>
    <w:rsid w:val="00DE2100"/>
    <w:rPr>
      <w:rFonts w:eastAsia="PMingLiU" w:cs="Times New Roman"/>
      <w:caps/>
      <w:color w:val="494F56" w:themeColor="background2"/>
      <w:spacing w:val="10"/>
      <w:sz w:val="24"/>
      <w:szCs w:val="28"/>
      <w:lang w:eastAsia="en-US"/>
    </w:rPr>
  </w:style>
  <w:style w:type="paragraph" w:styleId="NoSpacing">
    <w:name w:val="No Spacing"/>
    <w:link w:val="NoSpacingChar"/>
    <w:uiPriority w:val="1"/>
    <w:unhideWhenUsed/>
    <w:qFormat/>
    <w:rsid w:val="00DE2100"/>
    <w:rPr>
      <w:sz w:val="24"/>
      <w:lang w:eastAsia="en-US"/>
    </w:rPr>
  </w:style>
  <w:style w:type="character" w:customStyle="1" w:styleId="NoSpacingChar">
    <w:name w:val="No Spacing Char"/>
    <w:basedOn w:val="DefaultParagraphFont"/>
    <w:link w:val="NoSpacing"/>
    <w:uiPriority w:val="99"/>
    <w:rsid w:val="00DE2100"/>
    <w:rPr>
      <w:sz w:val="24"/>
      <w:lang w:eastAsia="en-US"/>
    </w:rPr>
  </w:style>
  <w:style w:type="paragraph" w:styleId="CommentText">
    <w:name w:val="annotation text"/>
    <w:basedOn w:val="Normal"/>
    <w:link w:val="CommentTextChar"/>
    <w:uiPriority w:val="99"/>
    <w:unhideWhenUsed/>
    <w:rsid w:val="00DE2100"/>
    <w:pPr>
      <w:spacing w:line="240" w:lineRule="auto"/>
    </w:pPr>
    <w:rPr>
      <w:sz w:val="20"/>
      <w:szCs w:val="20"/>
    </w:rPr>
  </w:style>
  <w:style w:type="character" w:customStyle="1" w:styleId="CommentTextChar">
    <w:name w:val="Comment Text Char"/>
    <w:basedOn w:val="DefaultParagraphFont"/>
    <w:link w:val="CommentText"/>
    <w:uiPriority w:val="99"/>
    <w:rsid w:val="00DE2100"/>
    <w:rPr>
      <w:sz w:val="20"/>
      <w:szCs w:val="20"/>
    </w:rPr>
  </w:style>
  <w:style w:type="paragraph" w:customStyle="1" w:styleId="AffidavitListParagraph">
    <w:name w:val="Affidavit List Paragraph"/>
    <w:basedOn w:val="Normal"/>
    <w:uiPriority w:val="19"/>
    <w:semiHidden/>
    <w:unhideWhenUsed/>
    <w:qFormat/>
    <w:rsid w:val="00ED3CD4"/>
    <w:pPr>
      <w:numPr>
        <w:numId w:val="8"/>
      </w:numPr>
    </w:pPr>
    <w:rPr>
      <w:rFonts w:ascii="Times New Roman" w:eastAsia="Times New Roman" w:hAnsi="Times New Roman"/>
      <w:szCs w:val="24"/>
    </w:rPr>
  </w:style>
  <w:style w:type="paragraph" w:customStyle="1" w:styleId="AffidavitNumberedParagraph">
    <w:name w:val="Affidavit Numbered Paragraph"/>
    <w:basedOn w:val="AffidavitParagraph"/>
    <w:uiPriority w:val="19"/>
    <w:semiHidden/>
    <w:unhideWhenUsed/>
    <w:qFormat/>
    <w:rsid w:val="00ED3CD4"/>
    <w:pPr>
      <w:numPr>
        <w:numId w:val="9"/>
      </w:numPr>
    </w:pPr>
  </w:style>
  <w:style w:type="paragraph" w:customStyle="1" w:styleId="ParagraphLeader">
    <w:name w:val="Paragraph Leader"/>
    <w:basedOn w:val="Paragraph"/>
    <w:next w:val="Paragraph"/>
    <w:uiPriority w:val="3"/>
    <w:unhideWhenUsed/>
    <w:qFormat/>
    <w:rsid w:val="00DE2100"/>
    <w:pPr>
      <w:spacing w:before="120"/>
    </w:pPr>
    <w:rPr>
      <w:sz w:val="29"/>
    </w:rPr>
  </w:style>
  <w:style w:type="paragraph" w:customStyle="1" w:styleId="TestimonyQParagraph">
    <w:name w:val="Testimony Q Paragraph"/>
    <w:basedOn w:val="Normal"/>
    <w:next w:val="TestimonyAParagraph"/>
    <w:uiPriority w:val="20"/>
    <w:semiHidden/>
    <w:unhideWhenUsed/>
    <w:rsid w:val="00DE2100"/>
    <w:pPr>
      <w:numPr>
        <w:numId w:val="1"/>
      </w:numPr>
      <w:spacing w:before="480"/>
    </w:pPr>
    <w:rPr>
      <w:rFonts w:ascii="Times New Roman" w:eastAsia="Times New Roman" w:hAnsi="Times New Roman"/>
      <w:b/>
    </w:rPr>
  </w:style>
  <w:style w:type="paragraph" w:customStyle="1" w:styleId="TestimonyAParagraph">
    <w:name w:val="Testimony A Paragraph"/>
    <w:basedOn w:val="Normal"/>
    <w:next w:val="TestimonyQParagraph"/>
    <w:uiPriority w:val="20"/>
    <w:semiHidden/>
    <w:unhideWhenUsed/>
    <w:rsid w:val="00DE2100"/>
    <w:pPr>
      <w:numPr>
        <w:numId w:val="2"/>
      </w:numPr>
    </w:pPr>
    <w:rPr>
      <w:rFonts w:ascii="Times New Roman" w:eastAsia="Times New Roman" w:hAnsi="Times New Roman"/>
    </w:rPr>
  </w:style>
  <w:style w:type="paragraph" w:customStyle="1" w:styleId="AffidavitParagraph">
    <w:name w:val="Affidavit Paragraph"/>
    <w:basedOn w:val="AffidavitListParagraph"/>
    <w:uiPriority w:val="20"/>
    <w:semiHidden/>
    <w:rsid w:val="004A7525"/>
    <w:pPr>
      <w:numPr>
        <w:numId w:val="0"/>
      </w:numPr>
    </w:pPr>
  </w:style>
  <w:style w:type="paragraph" w:customStyle="1" w:styleId="AffidavitQuote">
    <w:name w:val="Affidavit Quote"/>
    <w:basedOn w:val="AffidavitParagraph"/>
    <w:uiPriority w:val="20"/>
    <w:semiHidden/>
    <w:rsid w:val="004A7525"/>
    <w:pPr>
      <w:pBdr>
        <w:left w:val="single" w:sz="8" w:space="12" w:color="auto"/>
      </w:pBdr>
      <w:spacing w:before="240" w:after="240" w:line="240" w:lineRule="auto"/>
      <w:ind w:left="864" w:right="864"/>
    </w:pPr>
    <w:rPr>
      <w:i/>
      <w:iCs/>
      <w:color w:val="000000"/>
    </w:rPr>
  </w:style>
  <w:style w:type="character" w:styleId="LineNumber">
    <w:name w:val="line number"/>
    <w:basedOn w:val="DefaultParagraphFont"/>
    <w:uiPriority w:val="99"/>
    <w:semiHidden/>
    <w:unhideWhenUsed/>
    <w:rsid w:val="00DE2100"/>
    <w:rPr>
      <w:color w:val="494F56" w:themeColor="background2"/>
      <w:sz w:val="18"/>
    </w:rPr>
  </w:style>
  <w:style w:type="paragraph" w:customStyle="1" w:styleId="Heading1Affidavit">
    <w:name w:val="Heading 1 Affidavit"/>
    <w:basedOn w:val="Normal"/>
    <w:uiPriority w:val="19"/>
    <w:semiHidden/>
    <w:rsid w:val="00694C82"/>
    <w:pPr>
      <w:keepNext/>
      <w:keepLines/>
      <w:numPr>
        <w:numId w:val="3"/>
      </w:numPr>
      <w:tabs>
        <w:tab w:val="left" w:pos="360"/>
        <w:tab w:val="left" w:pos="1170"/>
      </w:tabs>
      <w:spacing w:before="240" w:line="240" w:lineRule="auto"/>
      <w:mirrorIndents/>
      <w:outlineLvl w:val="1"/>
    </w:pPr>
    <w:rPr>
      <w:rFonts w:ascii="Times New Roman" w:eastAsia="Times New Roman" w:hAnsi="Times New Roman"/>
      <w:b/>
      <w:color w:val="000000"/>
      <w:szCs w:val="28"/>
    </w:rPr>
  </w:style>
  <w:style w:type="paragraph" w:customStyle="1" w:styleId="Heading2Affidavit">
    <w:name w:val="Heading 2 Affidavit"/>
    <w:basedOn w:val="Heading1Affidavit"/>
    <w:uiPriority w:val="19"/>
    <w:semiHidden/>
    <w:rsid w:val="001C3E92"/>
    <w:pPr>
      <w:numPr>
        <w:ilvl w:val="1"/>
      </w:numPr>
      <w:outlineLvl w:val="2"/>
    </w:pPr>
  </w:style>
  <w:style w:type="paragraph" w:customStyle="1" w:styleId="Heading3Affidavit">
    <w:name w:val="Heading 3 Affidavit"/>
    <w:basedOn w:val="Heading2Affidavit"/>
    <w:uiPriority w:val="19"/>
    <w:semiHidden/>
    <w:rsid w:val="001C3E92"/>
    <w:pPr>
      <w:numPr>
        <w:ilvl w:val="2"/>
      </w:numPr>
      <w:outlineLvl w:val="3"/>
    </w:pPr>
  </w:style>
  <w:style w:type="paragraph" w:customStyle="1" w:styleId="Heading4Affidavit">
    <w:name w:val="Heading 4 Affidavit"/>
    <w:basedOn w:val="Heading1Affidavit"/>
    <w:uiPriority w:val="19"/>
    <w:semiHidden/>
    <w:rsid w:val="001C3E92"/>
    <w:pPr>
      <w:numPr>
        <w:ilvl w:val="3"/>
      </w:numPr>
      <w:outlineLvl w:val="9"/>
    </w:pPr>
  </w:style>
  <w:style w:type="paragraph" w:customStyle="1" w:styleId="AffidavitPageHeader">
    <w:name w:val="Affidavit Page Header"/>
    <w:basedOn w:val="Header"/>
    <w:uiPriority w:val="20"/>
    <w:semiHidden/>
    <w:qFormat/>
    <w:rsid w:val="00ED3CD4"/>
    <w:pPr>
      <w:tabs>
        <w:tab w:val="left" w:pos="90"/>
      </w:tabs>
      <w:spacing w:before="240"/>
    </w:pPr>
    <w:rPr>
      <w:rFonts w:ascii="Times New Roman" w:eastAsia="Times New Roman" w:hAnsi="Times New Roman"/>
      <w:color w:val="000000" w:themeColor="text1"/>
      <w:spacing w:val="10"/>
    </w:rPr>
  </w:style>
  <w:style w:type="paragraph" w:customStyle="1" w:styleId="ListParagraph2">
    <w:name w:val="List Paragraph 2"/>
    <w:basedOn w:val="Normal"/>
    <w:uiPriority w:val="5"/>
    <w:unhideWhenUsed/>
    <w:qFormat/>
    <w:rsid w:val="00DE2100"/>
    <w:pPr>
      <w:numPr>
        <w:ilvl w:val="1"/>
        <w:numId w:val="29"/>
      </w:numPr>
      <w:spacing w:before="60"/>
      <w:ind w:left="720"/>
    </w:pPr>
  </w:style>
  <w:style w:type="paragraph" w:customStyle="1" w:styleId="ListParagraph3">
    <w:name w:val="List Paragraph 3"/>
    <w:basedOn w:val="ListParagraph2"/>
    <w:uiPriority w:val="5"/>
    <w:unhideWhenUsed/>
    <w:qFormat/>
    <w:rsid w:val="00DE2100"/>
    <w:pPr>
      <w:numPr>
        <w:ilvl w:val="2"/>
      </w:numPr>
      <w:spacing w:before="20"/>
      <w:ind w:left="1080"/>
    </w:pPr>
  </w:style>
  <w:style w:type="paragraph" w:styleId="ListNumber2">
    <w:name w:val="List Number 2"/>
    <w:basedOn w:val="Normal"/>
    <w:uiPriority w:val="6"/>
    <w:unhideWhenUsed/>
    <w:rsid w:val="00DE2100"/>
    <w:pPr>
      <w:numPr>
        <w:ilvl w:val="1"/>
        <w:numId w:val="27"/>
      </w:numPr>
      <w:spacing w:before="60"/>
      <w:contextualSpacing/>
    </w:pPr>
  </w:style>
  <w:style w:type="paragraph" w:styleId="ListNumber3">
    <w:name w:val="List Number 3"/>
    <w:basedOn w:val="Normal"/>
    <w:uiPriority w:val="6"/>
    <w:unhideWhenUsed/>
    <w:rsid w:val="00DE2100"/>
    <w:pPr>
      <w:numPr>
        <w:ilvl w:val="2"/>
        <w:numId w:val="27"/>
      </w:numPr>
      <w:spacing w:before="20"/>
      <w:contextualSpacing/>
    </w:pPr>
  </w:style>
  <w:style w:type="paragraph" w:styleId="ListNumber4">
    <w:name w:val="List Number 4"/>
    <w:basedOn w:val="Normal"/>
    <w:uiPriority w:val="6"/>
    <w:unhideWhenUsed/>
    <w:rsid w:val="00DE2100"/>
    <w:pPr>
      <w:numPr>
        <w:ilvl w:val="3"/>
        <w:numId w:val="27"/>
      </w:numPr>
      <w:contextualSpacing/>
    </w:pPr>
  </w:style>
  <w:style w:type="paragraph" w:styleId="ListNumber">
    <w:name w:val="List Number"/>
    <w:basedOn w:val="ListParagraph"/>
    <w:uiPriority w:val="6"/>
    <w:unhideWhenUsed/>
    <w:rsid w:val="00DE2100"/>
    <w:pPr>
      <w:numPr>
        <w:numId w:val="27"/>
      </w:numPr>
    </w:pPr>
  </w:style>
  <w:style w:type="paragraph" w:styleId="ListContinue3">
    <w:name w:val="List Continue 3"/>
    <w:basedOn w:val="Normal"/>
    <w:uiPriority w:val="99"/>
    <w:semiHidden/>
    <w:unhideWhenUsed/>
    <w:rsid w:val="00DE2100"/>
    <w:pPr>
      <w:ind w:left="1080"/>
      <w:contextualSpacing/>
    </w:pPr>
  </w:style>
  <w:style w:type="paragraph" w:styleId="ListBullet5">
    <w:name w:val="List Bullet 5"/>
    <w:basedOn w:val="Normal"/>
    <w:uiPriority w:val="99"/>
    <w:semiHidden/>
    <w:unhideWhenUsed/>
    <w:rsid w:val="00DE2100"/>
    <w:pPr>
      <w:numPr>
        <w:numId w:val="26"/>
      </w:numPr>
      <w:contextualSpacing/>
    </w:pPr>
  </w:style>
  <w:style w:type="paragraph" w:styleId="ListBullet4">
    <w:name w:val="List Bullet 4"/>
    <w:basedOn w:val="Normal"/>
    <w:uiPriority w:val="99"/>
    <w:semiHidden/>
    <w:unhideWhenUsed/>
    <w:rsid w:val="00DE2100"/>
    <w:pPr>
      <w:numPr>
        <w:numId w:val="25"/>
      </w:numPr>
      <w:contextualSpacing/>
    </w:pPr>
  </w:style>
  <w:style w:type="paragraph" w:styleId="ListBullet3">
    <w:name w:val="List Bullet 3"/>
    <w:basedOn w:val="Normal"/>
    <w:uiPriority w:val="99"/>
    <w:semiHidden/>
    <w:unhideWhenUsed/>
    <w:rsid w:val="00DE2100"/>
    <w:pPr>
      <w:numPr>
        <w:numId w:val="24"/>
      </w:numPr>
      <w:contextualSpacing/>
    </w:pPr>
  </w:style>
  <w:style w:type="paragraph" w:styleId="ListBullet2">
    <w:name w:val="List Bullet 2"/>
    <w:basedOn w:val="Normal"/>
    <w:uiPriority w:val="99"/>
    <w:semiHidden/>
    <w:unhideWhenUsed/>
    <w:rsid w:val="00DE2100"/>
    <w:pPr>
      <w:numPr>
        <w:numId w:val="23"/>
      </w:numPr>
      <w:contextualSpacing/>
    </w:pPr>
  </w:style>
  <w:style w:type="paragraph" w:styleId="List3">
    <w:name w:val="List 3"/>
    <w:basedOn w:val="Normal"/>
    <w:uiPriority w:val="99"/>
    <w:semiHidden/>
    <w:unhideWhenUsed/>
    <w:rsid w:val="00DE2100"/>
    <w:pPr>
      <w:ind w:left="1080" w:hanging="360"/>
      <w:contextualSpacing/>
    </w:pPr>
  </w:style>
  <w:style w:type="paragraph" w:styleId="List4">
    <w:name w:val="List 4"/>
    <w:basedOn w:val="Normal"/>
    <w:uiPriority w:val="99"/>
    <w:semiHidden/>
    <w:unhideWhenUsed/>
    <w:rsid w:val="00DE2100"/>
    <w:pPr>
      <w:ind w:left="1440" w:hanging="360"/>
      <w:contextualSpacing/>
    </w:pPr>
  </w:style>
  <w:style w:type="paragraph" w:styleId="Index1">
    <w:name w:val="index 1"/>
    <w:basedOn w:val="Normal"/>
    <w:next w:val="Normal"/>
    <w:autoRedefine/>
    <w:uiPriority w:val="99"/>
    <w:semiHidden/>
    <w:unhideWhenUsed/>
    <w:rsid w:val="00DE2100"/>
    <w:pPr>
      <w:spacing w:line="240" w:lineRule="auto"/>
      <w:ind w:left="220" w:hanging="220"/>
    </w:pPr>
  </w:style>
  <w:style w:type="paragraph" w:styleId="IndexHeading">
    <w:name w:val="index heading"/>
    <w:basedOn w:val="Normal"/>
    <w:next w:val="Index1"/>
    <w:uiPriority w:val="99"/>
    <w:semiHidden/>
    <w:unhideWhenUsed/>
    <w:rsid w:val="00DE2100"/>
    <w:rPr>
      <w:rFonts w:eastAsiaTheme="majorEastAsia" w:cstheme="majorBidi"/>
      <w:b/>
      <w:bCs/>
    </w:rPr>
  </w:style>
  <w:style w:type="paragraph" w:styleId="Index9">
    <w:name w:val="index 9"/>
    <w:basedOn w:val="Normal"/>
    <w:next w:val="Normal"/>
    <w:autoRedefine/>
    <w:uiPriority w:val="99"/>
    <w:semiHidden/>
    <w:unhideWhenUsed/>
    <w:rsid w:val="00DE2100"/>
    <w:pPr>
      <w:spacing w:line="240" w:lineRule="auto"/>
      <w:ind w:left="1980" w:hanging="220"/>
    </w:pPr>
  </w:style>
  <w:style w:type="paragraph" w:styleId="Index7">
    <w:name w:val="index 7"/>
    <w:basedOn w:val="Normal"/>
    <w:next w:val="Normal"/>
    <w:autoRedefine/>
    <w:uiPriority w:val="99"/>
    <w:semiHidden/>
    <w:unhideWhenUsed/>
    <w:rsid w:val="00DE2100"/>
    <w:pPr>
      <w:spacing w:line="240" w:lineRule="auto"/>
      <w:ind w:left="1540" w:hanging="220"/>
    </w:pPr>
  </w:style>
  <w:style w:type="numbering" w:customStyle="1" w:styleId="BrattleBullets">
    <w:name w:val="BrattleBullets"/>
    <w:uiPriority w:val="99"/>
    <w:rsid w:val="00DE2100"/>
    <w:pPr>
      <w:numPr>
        <w:numId w:val="6"/>
      </w:numPr>
    </w:pPr>
  </w:style>
  <w:style w:type="numbering" w:customStyle="1" w:styleId="BrattleNumbers">
    <w:name w:val="BrattleNumbers"/>
    <w:uiPriority w:val="99"/>
    <w:unhideWhenUsed/>
    <w:rsid w:val="00DE2100"/>
    <w:pPr>
      <w:numPr>
        <w:numId w:val="17"/>
      </w:numPr>
    </w:pPr>
  </w:style>
  <w:style w:type="paragraph" w:customStyle="1" w:styleId="ListParagraph4">
    <w:name w:val="List Paragraph 4"/>
    <w:basedOn w:val="ListParagraph"/>
    <w:uiPriority w:val="5"/>
    <w:unhideWhenUsed/>
    <w:qFormat/>
    <w:rsid w:val="00DE2100"/>
    <w:pPr>
      <w:numPr>
        <w:ilvl w:val="3"/>
      </w:numPr>
      <w:ind w:left="360" w:hanging="360"/>
    </w:pPr>
  </w:style>
  <w:style w:type="numbering" w:customStyle="1" w:styleId="AffidavitBullets">
    <w:name w:val="AffidavitBullets"/>
    <w:uiPriority w:val="99"/>
    <w:rsid w:val="003502D5"/>
    <w:pPr>
      <w:numPr>
        <w:numId w:val="4"/>
      </w:numPr>
    </w:pPr>
  </w:style>
  <w:style w:type="numbering" w:customStyle="1" w:styleId="AffidavitNumbers">
    <w:name w:val="AffidavitNumbers"/>
    <w:uiPriority w:val="99"/>
    <w:rsid w:val="003502D5"/>
    <w:pPr>
      <w:numPr>
        <w:numId w:val="5"/>
      </w:numPr>
    </w:pPr>
  </w:style>
  <w:style w:type="numbering" w:customStyle="1" w:styleId="BrattleAppendixNumbers">
    <w:name w:val="BrattleAppendixNumbers"/>
    <w:uiPriority w:val="99"/>
    <w:unhideWhenUsed/>
    <w:rsid w:val="00DE2100"/>
    <w:pPr>
      <w:numPr>
        <w:numId w:val="14"/>
      </w:numPr>
    </w:pPr>
  </w:style>
  <w:style w:type="numbering" w:customStyle="1" w:styleId="BrattleHeadings">
    <w:name w:val="BrattleHeadings"/>
    <w:uiPriority w:val="99"/>
    <w:unhideWhenUsed/>
    <w:rsid w:val="00DE2100"/>
    <w:pPr>
      <w:numPr>
        <w:numId w:val="15"/>
      </w:numPr>
    </w:pPr>
  </w:style>
  <w:style w:type="numbering" w:customStyle="1" w:styleId="BrattleHeadingsNumbered">
    <w:name w:val="BrattleHeadingsNumbered"/>
    <w:uiPriority w:val="99"/>
    <w:rsid w:val="00117543"/>
    <w:pPr>
      <w:numPr>
        <w:numId w:val="7"/>
      </w:numPr>
    </w:pPr>
  </w:style>
  <w:style w:type="numbering" w:customStyle="1" w:styleId="BrattleNumberedParagraphs">
    <w:name w:val="BrattleNumberedParagraphs"/>
    <w:uiPriority w:val="99"/>
    <w:unhideWhenUsed/>
    <w:rsid w:val="00DE2100"/>
    <w:pPr>
      <w:numPr>
        <w:numId w:val="16"/>
      </w:numPr>
    </w:pPr>
  </w:style>
  <w:style w:type="paragraph" w:customStyle="1" w:styleId="TitleOfficeLocation">
    <w:name w:val="Title | Office Location"/>
    <w:basedOn w:val="Normal"/>
    <w:link w:val="TitleOfficeLocationChar"/>
    <w:qFormat/>
    <w:rsid w:val="0021380C"/>
    <w:pPr>
      <w:spacing w:after="120" w:line="216" w:lineRule="auto"/>
    </w:pPr>
    <w:rPr>
      <w:rFonts w:cstheme="minorHAnsi"/>
      <w:b/>
      <w:caps/>
      <w:color w:val="2297AA" w:themeColor="accent2"/>
      <w:spacing w:val="10"/>
      <w:szCs w:val="24"/>
      <w:lang w:eastAsia="en-US"/>
    </w:rPr>
  </w:style>
  <w:style w:type="paragraph" w:customStyle="1" w:styleId="PrincipalName">
    <w:name w:val="Principal Name"/>
    <w:basedOn w:val="Normal"/>
    <w:link w:val="PrincipalNameChar"/>
    <w:qFormat/>
    <w:rsid w:val="0021380C"/>
    <w:pPr>
      <w:spacing w:after="120" w:line="216" w:lineRule="auto"/>
    </w:pPr>
    <w:rPr>
      <w:rFonts w:cstheme="minorHAnsi"/>
      <w:color w:val="1B3D6F" w:themeColor="accent1"/>
      <w:sz w:val="41"/>
      <w:szCs w:val="38"/>
      <w:lang w:eastAsia="en-US"/>
    </w:rPr>
  </w:style>
  <w:style w:type="character" w:customStyle="1" w:styleId="TitleOfficeLocationChar">
    <w:name w:val="Title | Office Location Char"/>
    <w:basedOn w:val="DefaultParagraphFont"/>
    <w:link w:val="TitleOfficeLocation"/>
    <w:rsid w:val="0021380C"/>
    <w:rPr>
      <w:rFonts w:cstheme="minorHAnsi"/>
      <w:b/>
      <w:caps/>
      <w:color w:val="2297AA" w:themeColor="accent2"/>
      <w:spacing w:val="10"/>
      <w:sz w:val="24"/>
      <w:szCs w:val="24"/>
      <w:lang w:eastAsia="en-US"/>
    </w:rPr>
  </w:style>
  <w:style w:type="paragraph" w:customStyle="1" w:styleId="PrincipalEmail">
    <w:name w:val="Principal Email"/>
    <w:link w:val="PrincipalEmailChar"/>
    <w:qFormat/>
    <w:rsid w:val="0021380C"/>
    <w:rPr>
      <w:rFonts w:cstheme="minorHAnsi"/>
      <w:color w:val="FFFFFF" w:themeColor="background1" w:themeTint="99"/>
      <w:sz w:val="29"/>
      <w:szCs w:val="23"/>
      <w:lang w:eastAsia="en-US"/>
    </w:rPr>
  </w:style>
  <w:style w:type="character" w:customStyle="1" w:styleId="PrincipalNameChar">
    <w:name w:val="Principal Name Char"/>
    <w:basedOn w:val="DefaultParagraphFont"/>
    <w:link w:val="PrincipalName"/>
    <w:rsid w:val="0021380C"/>
    <w:rPr>
      <w:rFonts w:cstheme="minorHAnsi"/>
      <w:color w:val="1B3D6F" w:themeColor="accent1"/>
      <w:sz w:val="41"/>
      <w:szCs w:val="38"/>
      <w:lang w:eastAsia="en-US"/>
    </w:rPr>
  </w:style>
  <w:style w:type="character" w:customStyle="1" w:styleId="PrincipalEmailChar">
    <w:name w:val="Principal Email Char"/>
    <w:basedOn w:val="TitleOfficeLocationChar"/>
    <w:link w:val="PrincipalEmail"/>
    <w:rsid w:val="0021380C"/>
    <w:rPr>
      <w:rFonts w:cstheme="minorHAnsi"/>
      <w:b w:val="0"/>
      <w:caps w:val="0"/>
      <w:color w:val="FFFFFF" w:themeColor="background1" w:themeTint="99"/>
      <w:spacing w:val="10"/>
      <w:sz w:val="29"/>
      <w:szCs w:val="23"/>
      <w:lang w:eastAsia="en-US"/>
    </w:rPr>
  </w:style>
  <w:style w:type="paragraph" w:customStyle="1" w:styleId="ParagraphLeaderTeal">
    <w:name w:val="Paragraph Leader Teal"/>
    <w:basedOn w:val="ParagraphLeader"/>
    <w:uiPriority w:val="3"/>
    <w:qFormat/>
    <w:rsid w:val="00145C8B"/>
    <w:rPr>
      <w:color w:val="2297AA" w:themeColor="accent2"/>
      <w:sz w:val="32"/>
    </w:rPr>
  </w:style>
  <w:style w:type="numbering" w:customStyle="1" w:styleId="BlueBullets">
    <w:name w:val="Blue Bullets"/>
    <w:uiPriority w:val="99"/>
    <w:rsid w:val="002A133C"/>
    <w:pPr>
      <w:numPr>
        <w:numId w:val="10"/>
      </w:numPr>
    </w:pPr>
  </w:style>
  <w:style w:type="paragraph" w:customStyle="1" w:styleId="EndnoteSeparator">
    <w:name w:val="Endnote Separator"/>
    <w:basedOn w:val="Normal"/>
    <w:uiPriority w:val="5"/>
    <w:semiHidden/>
    <w:unhideWhenUsed/>
    <w:qFormat/>
    <w:rsid w:val="00DE2100"/>
    <w:pPr>
      <w:pBdr>
        <w:top w:val="single" w:sz="4" w:space="6" w:color="D8DBDE" w:themeColor="background2" w:themeTint="33"/>
      </w:pBdr>
      <w:spacing w:line="360" w:lineRule="exact"/>
    </w:pPr>
    <w:rPr>
      <w:rFonts w:ascii="Calibri" w:eastAsiaTheme="minorEastAsia" w:hAnsi="Calibri"/>
      <w:color w:val="CCCCCC" w:themeColor="text1" w:themeTint="33"/>
    </w:rPr>
  </w:style>
  <w:style w:type="paragraph" w:customStyle="1" w:styleId="Separator">
    <w:name w:val="Separator"/>
    <w:basedOn w:val="Normal"/>
    <w:next w:val="Paragraph"/>
    <w:uiPriority w:val="2"/>
    <w:semiHidden/>
    <w:unhideWhenUsed/>
    <w:qFormat/>
    <w:rsid w:val="00DE2100"/>
    <w:pPr>
      <w:tabs>
        <w:tab w:val="left" w:leader="underscore" w:pos="1260"/>
        <w:tab w:val="left" w:leader="underscore" w:pos="3600"/>
        <w:tab w:val="left" w:leader="underscore" w:pos="7200"/>
      </w:tabs>
      <w:suppressAutoHyphens/>
      <w:spacing w:after="480" w:line="120" w:lineRule="auto"/>
    </w:pPr>
    <w:rPr>
      <w:rFonts w:asciiTheme="majorHAnsi" w:hAnsiTheme="majorHAnsi" w:cstheme="majorHAnsi"/>
      <w:b/>
      <w:color w:val="2297AA" w:themeColor="accent2"/>
      <w:spacing w:val="-200"/>
      <w:sz w:val="46"/>
      <w:szCs w:val="46"/>
      <w:lang w:val="en-CA"/>
    </w:rPr>
  </w:style>
  <w:style w:type="paragraph" w:customStyle="1" w:styleId="AppendixHeading1">
    <w:name w:val="Appendix Heading 1"/>
    <w:basedOn w:val="Heading1"/>
    <w:uiPriority w:val="99"/>
    <w:unhideWhenUsed/>
    <w:qFormat/>
    <w:rsid w:val="00DE2100"/>
    <w:pPr>
      <w:numPr>
        <w:numId w:val="14"/>
      </w:numPr>
    </w:pPr>
  </w:style>
  <w:style w:type="paragraph" w:customStyle="1" w:styleId="AppendixHeading2">
    <w:name w:val="Appendix Heading 2"/>
    <w:basedOn w:val="Heading2"/>
    <w:uiPriority w:val="99"/>
    <w:unhideWhenUsed/>
    <w:qFormat/>
    <w:rsid w:val="00DE2100"/>
    <w:pPr>
      <w:numPr>
        <w:numId w:val="14"/>
      </w:numPr>
    </w:pPr>
  </w:style>
  <w:style w:type="paragraph" w:customStyle="1" w:styleId="AppendixHeading3">
    <w:name w:val="Appendix Heading 3"/>
    <w:basedOn w:val="Heading3"/>
    <w:uiPriority w:val="99"/>
    <w:unhideWhenUsed/>
    <w:qFormat/>
    <w:rsid w:val="00DE2100"/>
    <w:pPr>
      <w:numPr>
        <w:numId w:val="14"/>
      </w:numPr>
    </w:pPr>
  </w:style>
  <w:style w:type="paragraph" w:customStyle="1" w:styleId="AppendixHeading4">
    <w:name w:val="Appendix Heading 4"/>
    <w:basedOn w:val="Heading4"/>
    <w:uiPriority w:val="99"/>
    <w:unhideWhenUsed/>
    <w:qFormat/>
    <w:rsid w:val="00DE2100"/>
    <w:pPr>
      <w:numPr>
        <w:numId w:val="14"/>
      </w:numPr>
    </w:pPr>
  </w:style>
  <w:style w:type="paragraph" w:customStyle="1" w:styleId="ParagraphNumbered2">
    <w:name w:val="Paragraph Numbered 2"/>
    <w:basedOn w:val="ParagraphNumbered"/>
    <w:uiPriority w:val="3"/>
    <w:semiHidden/>
    <w:unhideWhenUsed/>
    <w:qFormat/>
    <w:rsid w:val="00DE2100"/>
    <w:pPr>
      <w:numPr>
        <w:ilvl w:val="1"/>
      </w:numPr>
      <w:spacing w:before="120"/>
    </w:pPr>
  </w:style>
  <w:style w:type="paragraph" w:customStyle="1" w:styleId="ParagraphNumbered3">
    <w:name w:val="Paragraph Numbered 3"/>
    <w:basedOn w:val="ParagraphNumbered2"/>
    <w:uiPriority w:val="3"/>
    <w:semiHidden/>
    <w:unhideWhenUsed/>
    <w:qFormat/>
    <w:rsid w:val="00DE2100"/>
    <w:pPr>
      <w:numPr>
        <w:ilvl w:val="2"/>
      </w:numPr>
      <w:spacing w:before="60"/>
    </w:pPr>
  </w:style>
  <w:style w:type="paragraph" w:customStyle="1" w:styleId="ParagraphNumbered4">
    <w:name w:val="Paragraph Numbered 4"/>
    <w:basedOn w:val="ParagraphNumbered3"/>
    <w:uiPriority w:val="3"/>
    <w:semiHidden/>
    <w:unhideWhenUsed/>
    <w:qFormat/>
    <w:rsid w:val="00DE2100"/>
    <w:pPr>
      <w:numPr>
        <w:ilvl w:val="3"/>
      </w:numPr>
    </w:pPr>
  </w:style>
  <w:style w:type="numbering" w:styleId="111111">
    <w:name w:val="Outline List 2"/>
    <w:basedOn w:val="NoList"/>
    <w:uiPriority w:val="99"/>
    <w:semiHidden/>
    <w:unhideWhenUsed/>
    <w:rsid w:val="00DE2100"/>
    <w:pPr>
      <w:numPr>
        <w:numId w:val="12"/>
      </w:numPr>
    </w:pPr>
  </w:style>
  <w:style w:type="numbering" w:styleId="ArticleSection">
    <w:name w:val="Outline List 3"/>
    <w:basedOn w:val="NoList"/>
    <w:uiPriority w:val="99"/>
    <w:semiHidden/>
    <w:unhideWhenUsed/>
    <w:rsid w:val="00DE2100"/>
    <w:pPr>
      <w:numPr>
        <w:numId w:val="11"/>
      </w:numPr>
    </w:pPr>
  </w:style>
  <w:style w:type="paragraph" w:styleId="Bibliography">
    <w:name w:val="Bibliography"/>
    <w:basedOn w:val="Normal"/>
    <w:next w:val="Normal"/>
    <w:uiPriority w:val="42"/>
    <w:semiHidden/>
    <w:unhideWhenUsed/>
    <w:rsid w:val="00DE2100"/>
  </w:style>
  <w:style w:type="paragraph" w:styleId="BlockText">
    <w:name w:val="Block Text"/>
    <w:basedOn w:val="Normal"/>
    <w:uiPriority w:val="99"/>
    <w:semiHidden/>
    <w:unhideWhenUsed/>
    <w:rsid w:val="00DE2100"/>
    <w:pPr>
      <w:pBdr>
        <w:top w:val="single" w:sz="2" w:space="10" w:color="1B3D6F" w:themeColor="accent1" w:shadow="1"/>
        <w:left w:val="single" w:sz="2" w:space="10" w:color="1B3D6F" w:themeColor="accent1" w:shadow="1"/>
        <w:bottom w:val="single" w:sz="2" w:space="10" w:color="1B3D6F" w:themeColor="accent1" w:shadow="1"/>
        <w:right w:val="single" w:sz="2" w:space="10" w:color="1B3D6F" w:themeColor="accent1" w:shadow="1"/>
      </w:pBdr>
      <w:ind w:left="1152" w:right="1152"/>
    </w:pPr>
    <w:rPr>
      <w:rFonts w:eastAsiaTheme="minorEastAsia"/>
      <w:i/>
      <w:iCs/>
      <w:color w:val="1B3D6F" w:themeColor="accent1"/>
    </w:rPr>
  </w:style>
  <w:style w:type="paragraph" w:styleId="BodyText">
    <w:name w:val="Body Text"/>
    <w:basedOn w:val="Normal"/>
    <w:link w:val="BodyTextChar"/>
    <w:uiPriority w:val="99"/>
    <w:semiHidden/>
    <w:unhideWhenUsed/>
    <w:rsid w:val="00DE2100"/>
    <w:pPr>
      <w:spacing w:after="120"/>
    </w:pPr>
  </w:style>
  <w:style w:type="character" w:customStyle="1" w:styleId="BodyTextChar">
    <w:name w:val="Body Text Char"/>
    <w:basedOn w:val="DefaultParagraphFont"/>
    <w:link w:val="BodyText"/>
    <w:uiPriority w:val="99"/>
    <w:semiHidden/>
    <w:rsid w:val="00DE2100"/>
    <w:rPr>
      <w:sz w:val="24"/>
    </w:rPr>
  </w:style>
  <w:style w:type="paragraph" w:styleId="BodyText2">
    <w:name w:val="Body Text 2"/>
    <w:basedOn w:val="Normal"/>
    <w:link w:val="BodyText2Char"/>
    <w:uiPriority w:val="99"/>
    <w:semiHidden/>
    <w:unhideWhenUsed/>
    <w:rsid w:val="00DE2100"/>
    <w:pPr>
      <w:spacing w:after="120" w:line="480" w:lineRule="auto"/>
    </w:pPr>
  </w:style>
  <w:style w:type="character" w:customStyle="1" w:styleId="BodyText2Char">
    <w:name w:val="Body Text 2 Char"/>
    <w:basedOn w:val="DefaultParagraphFont"/>
    <w:link w:val="BodyText2"/>
    <w:uiPriority w:val="99"/>
    <w:semiHidden/>
    <w:rsid w:val="00DE2100"/>
    <w:rPr>
      <w:sz w:val="24"/>
    </w:rPr>
  </w:style>
  <w:style w:type="paragraph" w:styleId="BodyText3">
    <w:name w:val="Body Text 3"/>
    <w:basedOn w:val="Normal"/>
    <w:link w:val="BodyText3Char"/>
    <w:uiPriority w:val="99"/>
    <w:semiHidden/>
    <w:unhideWhenUsed/>
    <w:rsid w:val="00DE2100"/>
    <w:pPr>
      <w:spacing w:after="120"/>
    </w:pPr>
    <w:rPr>
      <w:sz w:val="16"/>
      <w:szCs w:val="16"/>
    </w:rPr>
  </w:style>
  <w:style w:type="character" w:customStyle="1" w:styleId="BodyText3Char">
    <w:name w:val="Body Text 3 Char"/>
    <w:basedOn w:val="DefaultParagraphFont"/>
    <w:link w:val="BodyText3"/>
    <w:uiPriority w:val="99"/>
    <w:semiHidden/>
    <w:rsid w:val="00DE2100"/>
    <w:rPr>
      <w:sz w:val="16"/>
      <w:szCs w:val="16"/>
    </w:rPr>
  </w:style>
  <w:style w:type="paragraph" w:styleId="BodyTextFirstIndent">
    <w:name w:val="Body Text First Indent"/>
    <w:basedOn w:val="BodyText"/>
    <w:link w:val="BodyTextFirstIndentChar"/>
    <w:uiPriority w:val="99"/>
    <w:semiHidden/>
    <w:unhideWhenUsed/>
    <w:rsid w:val="00DE2100"/>
    <w:pPr>
      <w:spacing w:after="0"/>
      <w:ind w:firstLine="360"/>
    </w:pPr>
  </w:style>
  <w:style w:type="character" w:customStyle="1" w:styleId="BodyTextFirstIndentChar">
    <w:name w:val="Body Text First Indent Char"/>
    <w:basedOn w:val="BodyTextChar"/>
    <w:link w:val="BodyTextFirstIndent"/>
    <w:uiPriority w:val="99"/>
    <w:semiHidden/>
    <w:rsid w:val="00DE2100"/>
    <w:rPr>
      <w:sz w:val="24"/>
    </w:rPr>
  </w:style>
  <w:style w:type="paragraph" w:styleId="BodyTextIndent">
    <w:name w:val="Body Text Indent"/>
    <w:basedOn w:val="Normal"/>
    <w:link w:val="BodyTextIndentChar"/>
    <w:uiPriority w:val="99"/>
    <w:semiHidden/>
    <w:unhideWhenUsed/>
    <w:rsid w:val="00DE2100"/>
    <w:pPr>
      <w:spacing w:after="120"/>
      <w:ind w:left="360"/>
    </w:pPr>
  </w:style>
  <w:style w:type="character" w:customStyle="1" w:styleId="BodyTextIndentChar">
    <w:name w:val="Body Text Indent Char"/>
    <w:basedOn w:val="DefaultParagraphFont"/>
    <w:link w:val="BodyTextIndent"/>
    <w:uiPriority w:val="99"/>
    <w:semiHidden/>
    <w:rsid w:val="00DE2100"/>
    <w:rPr>
      <w:sz w:val="24"/>
    </w:rPr>
  </w:style>
  <w:style w:type="paragraph" w:styleId="BodyTextFirstIndent2">
    <w:name w:val="Body Text First Indent 2"/>
    <w:basedOn w:val="BodyTextIndent"/>
    <w:link w:val="BodyTextFirstIndent2Char"/>
    <w:uiPriority w:val="99"/>
    <w:semiHidden/>
    <w:unhideWhenUsed/>
    <w:rsid w:val="00DE2100"/>
    <w:pPr>
      <w:spacing w:after="0"/>
      <w:ind w:firstLine="360"/>
    </w:pPr>
  </w:style>
  <w:style w:type="character" w:customStyle="1" w:styleId="BodyTextFirstIndent2Char">
    <w:name w:val="Body Text First Indent 2 Char"/>
    <w:basedOn w:val="BodyTextIndentChar"/>
    <w:link w:val="BodyTextFirstIndent2"/>
    <w:uiPriority w:val="99"/>
    <w:semiHidden/>
    <w:rsid w:val="00DE2100"/>
    <w:rPr>
      <w:sz w:val="24"/>
    </w:rPr>
  </w:style>
  <w:style w:type="paragraph" w:styleId="BodyTextIndent2">
    <w:name w:val="Body Text Indent 2"/>
    <w:basedOn w:val="Normal"/>
    <w:link w:val="BodyTextIndent2Char"/>
    <w:uiPriority w:val="99"/>
    <w:semiHidden/>
    <w:unhideWhenUsed/>
    <w:rsid w:val="00DE2100"/>
    <w:pPr>
      <w:spacing w:after="120" w:line="480" w:lineRule="auto"/>
      <w:ind w:left="360"/>
    </w:pPr>
  </w:style>
  <w:style w:type="character" w:customStyle="1" w:styleId="BodyTextIndent2Char">
    <w:name w:val="Body Text Indent 2 Char"/>
    <w:basedOn w:val="DefaultParagraphFont"/>
    <w:link w:val="BodyTextIndent2"/>
    <w:uiPriority w:val="99"/>
    <w:semiHidden/>
    <w:rsid w:val="00DE2100"/>
    <w:rPr>
      <w:sz w:val="24"/>
    </w:rPr>
  </w:style>
  <w:style w:type="paragraph" w:styleId="BodyTextIndent3">
    <w:name w:val="Body Text Indent 3"/>
    <w:basedOn w:val="Normal"/>
    <w:link w:val="BodyTextIndent3Char"/>
    <w:uiPriority w:val="99"/>
    <w:semiHidden/>
    <w:unhideWhenUsed/>
    <w:rsid w:val="00DE21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2100"/>
    <w:rPr>
      <w:sz w:val="16"/>
      <w:szCs w:val="16"/>
    </w:rPr>
  </w:style>
  <w:style w:type="character" w:styleId="BookTitle">
    <w:name w:val="Book Title"/>
    <w:basedOn w:val="DefaultParagraphFont"/>
    <w:uiPriority w:val="99"/>
    <w:semiHidden/>
    <w:unhideWhenUsed/>
    <w:qFormat/>
    <w:rsid w:val="00DE2100"/>
    <w:rPr>
      <w:b/>
      <w:bCs/>
      <w:i/>
      <w:iCs/>
      <w:spacing w:val="5"/>
    </w:rPr>
  </w:style>
  <w:style w:type="paragraph" w:styleId="Closing">
    <w:name w:val="Closing"/>
    <w:basedOn w:val="Normal"/>
    <w:link w:val="ClosingChar"/>
    <w:uiPriority w:val="99"/>
    <w:semiHidden/>
    <w:unhideWhenUsed/>
    <w:rsid w:val="00DE2100"/>
    <w:pPr>
      <w:spacing w:line="240" w:lineRule="auto"/>
      <w:ind w:left="4320"/>
    </w:pPr>
  </w:style>
  <w:style w:type="character" w:customStyle="1" w:styleId="ClosingChar">
    <w:name w:val="Closing Char"/>
    <w:basedOn w:val="DefaultParagraphFont"/>
    <w:link w:val="Closing"/>
    <w:uiPriority w:val="99"/>
    <w:semiHidden/>
    <w:rsid w:val="00DE2100"/>
    <w:rPr>
      <w:sz w:val="24"/>
    </w:rPr>
  </w:style>
  <w:style w:type="table" w:styleId="ColorfulGrid">
    <w:name w:val="Colorful Grid"/>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D5F0" w:themeFill="accent1" w:themeFillTint="33"/>
    </w:tcPr>
    <w:tblStylePr w:type="firstRow">
      <w:rPr>
        <w:b/>
        <w:bCs/>
      </w:rPr>
      <w:tblPr/>
      <w:tcPr>
        <w:shd w:val="clear" w:color="auto" w:fill="87ABE1" w:themeFill="accent1" w:themeFillTint="66"/>
      </w:tcPr>
    </w:tblStylePr>
    <w:tblStylePr w:type="lastRow">
      <w:rPr>
        <w:b/>
        <w:bCs/>
        <w:color w:val="000000" w:themeColor="text1"/>
      </w:rPr>
      <w:tblPr/>
      <w:tcPr>
        <w:shd w:val="clear" w:color="auto" w:fill="87ABE1" w:themeFill="accent1" w:themeFillTint="66"/>
      </w:tcPr>
    </w:tblStylePr>
    <w:tblStylePr w:type="firstCol">
      <w:rPr>
        <w:color w:val="FFFFFF" w:themeColor="background1"/>
      </w:rPr>
      <w:tblPr/>
      <w:tcPr>
        <w:shd w:val="clear" w:color="auto" w:fill="142D53" w:themeFill="accent1" w:themeFillShade="BF"/>
      </w:tcPr>
    </w:tblStylePr>
    <w:tblStylePr w:type="lastCol">
      <w:rPr>
        <w:color w:val="FFFFFF" w:themeColor="background1"/>
      </w:rPr>
      <w:tblPr/>
      <w:tcPr>
        <w:shd w:val="clear" w:color="auto" w:fill="142D53" w:themeFill="accent1" w:themeFillShade="BF"/>
      </w:tcPr>
    </w:tblStylePr>
    <w:tblStylePr w:type="band1Vert">
      <w:tblPr/>
      <w:tcPr>
        <w:shd w:val="clear" w:color="auto" w:fill="6997DA" w:themeFill="accent1" w:themeFillTint="7F"/>
      </w:tcPr>
    </w:tblStylePr>
    <w:tblStylePr w:type="band1Horz">
      <w:tblPr/>
      <w:tcPr>
        <w:shd w:val="clear" w:color="auto" w:fill="6997DA" w:themeFill="accent1" w:themeFillTint="7F"/>
      </w:tcPr>
    </w:tblStylePr>
  </w:style>
  <w:style w:type="table" w:styleId="ColorfulGrid-Accent2">
    <w:name w:val="Colorful Grid Accent 2"/>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EFF4" w:themeFill="accent2" w:themeFillTint="33"/>
    </w:tcPr>
    <w:tblStylePr w:type="firstRow">
      <w:rPr>
        <w:b/>
        <w:bCs/>
      </w:rPr>
      <w:tblPr/>
      <w:tcPr>
        <w:shd w:val="clear" w:color="auto" w:fill="98DFEA" w:themeFill="accent2" w:themeFillTint="66"/>
      </w:tcPr>
    </w:tblStylePr>
    <w:tblStylePr w:type="lastRow">
      <w:rPr>
        <w:b/>
        <w:bCs/>
        <w:color w:val="000000" w:themeColor="text1"/>
      </w:rPr>
      <w:tblPr/>
      <w:tcPr>
        <w:shd w:val="clear" w:color="auto" w:fill="98DFEA" w:themeFill="accent2" w:themeFillTint="66"/>
      </w:tcPr>
    </w:tblStylePr>
    <w:tblStylePr w:type="firstCol">
      <w:rPr>
        <w:color w:val="FFFFFF" w:themeColor="background1"/>
      </w:rPr>
      <w:tblPr/>
      <w:tcPr>
        <w:shd w:val="clear" w:color="auto" w:fill="19707F" w:themeFill="accent2" w:themeFillShade="BF"/>
      </w:tcPr>
    </w:tblStylePr>
    <w:tblStylePr w:type="lastCol">
      <w:rPr>
        <w:color w:val="FFFFFF" w:themeColor="background1"/>
      </w:rPr>
      <w:tblPr/>
      <w:tcPr>
        <w:shd w:val="clear" w:color="auto" w:fill="19707F" w:themeFill="accent2" w:themeFillShade="BF"/>
      </w:tcPr>
    </w:tblStylePr>
    <w:tblStylePr w:type="band1Vert">
      <w:tblPr/>
      <w:tcPr>
        <w:shd w:val="clear" w:color="auto" w:fill="7FD7E5" w:themeFill="accent2" w:themeFillTint="7F"/>
      </w:tcPr>
    </w:tblStylePr>
    <w:tblStylePr w:type="band1Horz">
      <w:tblPr/>
      <w:tcPr>
        <w:shd w:val="clear" w:color="auto" w:fill="7FD7E5" w:themeFill="accent2" w:themeFillTint="7F"/>
      </w:tcPr>
    </w:tblStylePr>
  </w:style>
  <w:style w:type="table" w:styleId="ColorfulGrid-Accent3">
    <w:name w:val="Colorful Grid Accent 3"/>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2EA" w:themeFill="accent3" w:themeFillTint="33"/>
    </w:tcPr>
    <w:tblStylePr w:type="firstRow">
      <w:rPr>
        <w:b/>
        <w:bCs/>
      </w:rPr>
      <w:tblPr/>
      <w:tcPr>
        <w:shd w:val="clear" w:color="auto" w:fill="ABE6D5" w:themeFill="accent3" w:themeFillTint="66"/>
      </w:tcPr>
    </w:tblStylePr>
    <w:tblStylePr w:type="lastRow">
      <w:rPr>
        <w:b/>
        <w:bCs/>
        <w:color w:val="000000" w:themeColor="text1"/>
      </w:rPr>
      <w:tblPr/>
      <w:tcPr>
        <w:shd w:val="clear" w:color="auto" w:fill="ABE6D5" w:themeFill="accent3" w:themeFillTint="66"/>
      </w:tcPr>
    </w:tblStylePr>
    <w:tblStylePr w:type="firstCol">
      <w:rPr>
        <w:color w:val="FFFFFF" w:themeColor="background1"/>
      </w:rPr>
      <w:tblPr/>
      <w:tcPr>
        <w:shd w:val="clear" w:color="auto" w:fill="298B6F" w:themeFill="accent3" w:themeFillShade="BF"/>
      </w:tcPr>
    </w:tblStylePr>
    <w:tblStylePr w:type="lastCol">
      <w:rPr>
        <w:color w:val="FFFFFF" w:themeColor="background1"/>
      </w:rPr>
      <w:tblPr/>
      <w:tcPr>
        <w:shd w:val="clear" w:color="auto" w:fill="298B6F" w:themeFill="accent3" w:themeFillShade="BF"/>
      </w:tcPr>
    </w:tblStylePr>
    <w:tblStylePr w:type="band1Vert">
      <w:tblPr/>
      <w:tcPr>
        <w:shd w:val="clear" w:color="auto" w:fill="97E0CB" w:themeFill="accent3" w:themeFillTint="7F"/>
      </w:tcPr>
    </w:tblStylePr>
    <w:tblStylePr w:type="band1Horz">
      <w:tblPr/>
      <w:tcPr>
        <w:shd w:val="clear" w:color="auto" w:fill="97E0CB" w:themeFill="accent3" w:themeFillTint="7F"/>
      </w:tcPr>
    </w:tblStylePr>
  </w:style>
  <w:style w:type="table" w:styleId="ColorfulGrid-Accent4">
    <w:name w:val="Colorful Grid Accent 4"/>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1DA" w:themeFill="accent4" w:themeFillTint="33"/>
    </w:tcPr>
    <w:tblStylePr w:type="firstRow">
      <w:rPr>
        <w:b/>
        <w:bCs/>
      </w:rPr>
      <w:tblPr/>
      <w:tcPr>
        <w:shd w:val="clear" w:color="auto" w:fill="FAE4B5" w:themeFill="accent4" w:themeFillTint="66"/>
      </w:tcPr>
    </w:tblStylePr>
    <w:tblStylePr w:type="lastRow">
      <w:rPr>
        <w:b/>
        <w:bCs/>
        <w:color w:val="000000" w:themeColor="text1"/>
      </w:rPr>
      <w:tblPr/>
      <w:tcPr>
        <w:shd w:val="clear" w:color="auto" w:fill="FAE4B5" w:themeFill="accent4" w:themeFillTint="66"/>
      </w:tcPr>
    </w:tblStylePr>
    <w:tblStylePr w:type="firstCol">
      <w:rPr>
        <w:color w:val="FFFFFF" w:themeColor="background1"/>
      </w:rPr>
      <w:tblPr/>
      <w:tcPr>
        <w:shd w:val="clear" w:color="auto" w:fill="DD9B0E" w:themeFill="accent4" w:themeFillShade="BF"/>
      </w:tcPr>
    </w:tblStylePr>
    <w:tblStylePr w:type="lastCol">
      <w:rPr>
        <w:color w:val="FFFFFF" w:themeColor="background1"/>
      </w:rPr>
      <w:tblPr/>
      <w:tcPr>
        <w:shd w:val="clear" w:color="auto" w:fill="DD9B0E" w:themeFill="accent4" w:themeFillShade="BF"/>
      </w:tcPr>
    </w:tblStylePr>
    <w:tblStylePr w:type="band1Vert">
      <w:tblPr/>
      <w:tcPr>
        <w:shd w:val="clear" w:color="auto" w:fill="F9DDA3" w:themeFill="accent4" w:themeFillTint="7F"/>
      </w:tcPr>
    </w:tblStylePr>
    <w:tblStylePr w:type="band1Horz">
      <w:tblPr/>
      <w:tcPr>
        <w:shd w:val="clear" w:color="auto" w:fill="F9DDA3" w:themeFill="accent4" w:themeFillTint="7F"/>
      </w:tcPr>
    </w:tblStylePr>
  </w:style>
  <w:style w:type="table" w:styleId="ColorfulGrid-Accent5">
    <w:name w:val="Colorful Grid Accent 5"/>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0D3" w:themeFill="accent5" w:themeFillTint="33"/>
    </w:tcPr>
    <w:tblStylePr w:type="firstRow">
      <w:rPr>
        <w:b/>
        <w:bCs/>
      </w:rPr>
      <w:tblPr/>
      <w:tcPr>
        <w:shd w:val="clear" w:color="auto" w:fill="F9C2A7" w:themeFill="accent5" w:themeFillTint="66"/>
      </w:tcPr>
    </w:tblStylePr>
    <w:tblStylePr w:type="lastRow">
      <w:rPr>
        <w:b/>
        <w:bCs/>
        <w:color w:val="000000" w:themeColor="text1"/>
      </w:rPr>
      <w:tblPr/>
      <w:tcPr>
        <w:shd w:val="clear" w:color="auto" w:fill="F9C2A7" w:themeFill="accent5" w:themeFillTint="66"/>
      </w:tcPr>
    </w:tblStylePr>
    <w:tblStylePr w:type="firstCol">
      <w:rPr>
        <w:color w:val="FFFFFF" w:themeColor="background1"/>
      </w:rPr>
      <w:tblPr/>
      <w:tcPr>
        <w:shd w:val="clear" w:color="auto" w:fill="C4490B" w:themeFill="accent5" w:themeFillShade="BF"/>
      </w:tcPr>
    </w:tblStylePr>
    <w:tblStylePr w:type="lastCol">
      <w:rPr>
        <w:color w:val="FFFFFF" w:themeColor="background1"/>
      </w:rPr>
      <w:tblPr/>
      <w:tcPr>
        <w:shd w:val="clear" w:color="auto" w:fill="C4490B" w:themeFill="accent5" w:themeFillShade="BF"/>
      </w:tcPr>
    </w:tblStylePr>
    <w:tblStylePr w:type="band1Vert">
      <w:tblPr/>
      <w:tcPr>
        <w:shd w:val="clear" w:color="auto" w:fill="F8B492" w:themeFill="accent5" w:themeFillTint="7F"/>
      </w:tcPr>
    </w:tblStylePr>
    <w:tblStylePr w:type="band1Horz">
      <w:tblPr/>
      <w:tcPr>
        <w:shd w:val="clear" w:color="auto" w:fill="F8B492" w:themeFill="accent5" w:themeFillTint="7F"/>
      </w:tcPr>
    </w:tblStylePr>
  </w:style>
  <w:style w:type="table" w:styleId="ColorfulGrid-Accent6">
    <w:name w:val="Colorful Grid Accent 6"/>
    <w:basedOn w:val="TableNormal"/>
    <w:uiPriority w:val="73"/>
    <w:semiHidden/>
    <w:unhideWhenUsed/>
    <w:rsid w:val="00DE210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8E2" w:themeFill="accent6" w:themeFillTint="33"/>
    </w:tcPr>
    <w:tblStylePr w:type="firstRow">
      <w:rPr>
        <w:b/>
        <w:bCs/>
      </w:rPr>
      <w:tblPr/>
      <w:tcPr>
        <w:shd w:val="clear" w:color="auto" w:fill="EBB1C5" w:themeFill="accent6" w:themeFillTint="66"/>
      </w:tcPr>
    </w:tblStylePr>
    <w:tblStylePr w:type="lastRow">
      <w:rPr>
        <w:b/>
        <w:bCs/>
        <w:color w:val="000000" w:themeColor="text1"/>
      </w:rPr>
      <w:tblPr/>
      <w:tcPr>
        <w:shd w:val="clear" w:color="auto" w:fill="EBB1C5" w:themeFill="accent6" w:themeFillTint="66"/>
      </w:tcPr>
    </w:tblStylePr>
    <w:tblStylePr w:type="firstCol">
      <w:rPr>
        <w:color w:val="FFFFFF" w:themeColor="background1"/>
      </w:rPr>
      <w:tblPr/>
      <w:tcPr>
        <w:shd w:val="clear" w:color="auto" w:fill="9E2952" w:themeFill="accent6" w:themeFillShade="BF"/>
      </w:tcPr>
    </w:tblStylePr>
    <w:tblStylePr w:type="lastCol">
      <w:rPr>
        <w:color w:val="FFFFFF" w:themeColor="background1"/>
      </w:rPr>
      <w:tblPr/>
      <w:tcPr>
        <w:shd w:val="clear" w:color="auto" w:fill="9E2952" w:themeFill="accent6" w:themeFillShade="BF"/>
      </w:tcPr>
    </w:tblStylePr>
    <w:tblStylePr w:type="band1Vert">
      <w:tblPr/>
      <w:tcPr>
        <w:shd w:val="clear" w:color="auto" w:fill="E69EB7" w:themeFill="accent6" w:themeFillTint="7F"/>
      </w:tcPr>
    </w:tblStylePr>
    <w:tblStylePr w:type="band1Horz">
      <w:tblPr/>
      <w:tcPr>
        <w:shd w:val="clear" w:color="auto" w:fill="E69EB7" w:themeFill="accent6" w:themeFillTint="7F"/>
      </w:tcPr>
    </w:tblStylePr>
  </w:style>
  <w:style w:type="table" w:styleId="ColorfulList">
    <w:name w:val="Colorful List"/>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E1EAF7" w:themeFill="accent1"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CBED" w:themeFill="accent1" w:themeFillTint="3F"/>
      </w:tcPr>
    </w:tblStylePr>
    <w:tblStylePr w:type="band1Horz">
      <w:tblPr/>
      <w:tcPr>
        <w:shd w:val="clear" w:color="auto" w:fill="C2D5F0" w:themeFill="accent1" w:themeFillTint="33"/>
      </w:tcPr>
    </w:tblStylePr>
  </w:style>
  <w:style w:type="table" w:styleId="ColorfulList-Accent2">
    <w:name w:val="Colorful List Accent 2"/>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E6F7FA" w:themeFill="accent2"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BF2" w:themeFill="accent2" w:themeFillTint="3F"/>
      </w:tcPr>
    </w:tblStylePr>
    <w:tblStylePr w:type="band1Horz">
      <w:tblPr/>
      <w:tcPr>
        <w:shd w:val="clear" w:color="auto" w:fill="CBEFF4" w:themeFill="accent2" w:themeFillTint="33"/>
      </w:tcPr>
    </w:tblStylePr>
  </w:style>
  <w:style w:type="table" w:styleId="ColorfulList-Accent3">
    <w:name w:val="Colorful List Accent 3"/>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EAF9F4" w:themeFill="accent3" w:themeFillTint="19"/>
    </w:tcPr>
    <w:tblStylePr w:type="firstRow">
      <w:rPr>
        <w:b/>
        <w:bCs/>
        <w:color w:val="FFFFFF" w:themeColor="background1"/>
      </w:rPr>
      <w:tblPr/>
      <w:tcPr>
        <w:tcBorders>
          <w:bottom w:val="single" w:sz="12" w:space="0" w:color="FFFFFF" w:themeColor="background1"/>
        </w:tcBorders>
        <w:shd w:val="clear" w:color="auto" w:fill="ECA60F" w:themeFill="accent4" w:themeFillShade="CC"/>
      </w:tcPr>
    </w:tblStylePr>
    <w:tblStylePr w:type="lastRow">
      <w:rPr>
        <w:b/>
        <w:bCs/>
        <w:color w:val="ECA6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5" w:themeFill="accent3" w:themeFillTint="3F"/>
      </w:tcPr>
    </w:tblStylePr>
    <w:tblStylePr w:type="band1Horz">
      <w:tblPr/>
      <w:tcPr>
        <w:shd w:val="clear" w:color="auto" w:fill="D5F2EA" w:themeFill="accent3" w:themeFillTint="33"/>
      </w:tcPr>
    </w:tblStylePr>
  </w:style>
  <w:style w:type="table" w:styleId="ColorfulList-Accent4">
    <w:name w:val="Colorful List Accent 4"/>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FDF8EC" w:themeFill="accent4" w:themeFillTint="19"/>
    </w:tcPr>
    <w:tblStylePr w:type="firstRow">
      <w:rPr>
        <w:b/>
        <w:bCs/>
        <w:color w:val="FFFFFF" w:themeColor="background1"/>
      </w:rPr>
      <w:tblPr/>
      <w:tcPr>
        <w:tcBorders>
          <w:bottom w:val="single" w:sz="12" w:space="0" w:color="FFFFFF" w:themeColor="background1"/>
        </w:tcBorders>
        <w:shd w:val="clear" w:color="auto" w:fill="2C9476" w:themeFill="accent3" w:themeFillShade="CC"/>
      </w:tcPr>
    </w:tblStylePr>
    <w:tblStylePr w:type="lastRow">
      <w:rPr>
        <w:b/>
        <w:bCs/>
        <w:color w:val="2C94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D1" w:themeFill="accent4" w:themeFillTint="3F"/>
      </w:tcPr>
    </w:tblStylePr>
    <w:tblStylePr w:type="band1Horz">
      <w:tblPr/>
      <w:tcPr>
        <w:shd w:val="clear" w:color="auto" w:fill="FCF1DA" w:themeFill="accent4" w:themeFillTint="33"/>
      </w:tcPr>
    </w:tblStylePr>
  </w:style>
  <w:style w:type="table" w:styleId="ColorfulList-Accent5">
    <w:name w:val="Colorful List Accent 5"/>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FDF0E9" w:themeFill="accent5" w:themeFillTint="19"/>
    </w:tcPr>
    <w:tblStylePr w:type="firstRow">
      <w:rPr>
        <w:b/>
        <w:bCs/>
        <w:color w:val="FFFFFF" w:themeColor="background1"/>
      </w:rPr>
      <w:tblPr/>
      <w:tcPr>
        <w:tcBorders>
          <w:bottom w:val="single" w:sz="12" w:space="0" w:color="FFFFFF" w:themeColor="background1"/>
        </w:tcBorders>
        <w:shd w:val="clear" w:color="auto" w:fill="A92C58" w:themeFill="accent6" w:themeFillShade="CC"/>
      </w:tcPr>
    </w:tblStylePr>
    <w:tblStylePr w:type="lastRow">
      <w:rPr>
        <w:b/>
        <w:bCs/>
        <w:color w:val="A92C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8" w:themeFill="accent5" w:themeFillTint="3F"/>
      </w:tcPr>
    </w:tblStylePr>
    <w:tblStylePr w:type="band1Horz">
      <w:tblPr/>
      <w:tcPr>
        <w:shd w:val="clear" w:color="auto" w:fill="FCE0D3" w:themeFill="accent5" w:themeFillTint="33"/>
      </w:tcPr>
    </w:tblStylePr>
  </w:style>
  <w:style w:type="table" w:styleId="ColorfulList-Accent6">
    <w:name w:val="Colorful List Accent 6"/>
    <w:basedOn w:val="TableNormal"/>
    <w:uiPriority w:val="72"/>
    <w:semiHidden/>
    <w:unhideWhenUsed/>
    <w:rsid w:val="00DE2100"/>
    <w:pPr>
      <w:spacing w:line="240" w:lineRule="auto"/>
    </w:pPr>
    <w:rPr>
      <w:color w:val="000000" w:themeColor="text1"/>
    </w:rPr>
    <w:tblPr>
      <w:tblStyleRowBandSize w:val="1"/>
      <w:tblStyleColBandSize w:val="1"/>
    </w:tblPr>
    <w:tcPr>
      <w:shd w:val="clear" w:color="auto" w:fill="FAEBF0" w:themeFill="accent6" w:themeFillTint="19"/>
    </w:tcPr>
    <w:tblStylePr w:type="firstRow">
      <w:rPr>
        <w:b/>
        <w:bCs/>
        <w:color w:val="FFFFFF" w:themeColor="background1"/>
      </w:rPr>
      <w:tblPr/>
      <w:tcPr>
        <w:tcBorders>
          <w:bottom w:val="single" w:sz="12" w:space="0" w:color="FFFFFF" w:themeColor="background1"/>
        </w:tcBorders>
        <w:shd w:val="clear" w:color="auto" w:fill="D24E0C" w:themeFill="accent5" w:themeFillShade="CC"/>
      </w:tcPr>
    </w:tblStylePr>
    <w:tblStylePr w:type="lastRow">
      <w:rPr>
        <w:b/>
        <w:bCs/>
        <w:color w:val="D24E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FDB" w:themeFill="accent6" w:themeFillTint="3F"/>
      </w:tcPr>
    </w:tblStylePr>
    <w:tblStylePr w:type="band1Horz">
      <w:tblPr/>
      <w:tcPr>
        <w:shd w:val="clear" w:color="auto" w:fill="F5D8E2" w:themeFill="accent6" w:themeFillTint="33"/>
      </w:tcPr>
    </w:tblStylePr>
  </w:style>
  <w:style w:type="table" w:styleId="ColorfulShading">
    <w:name w:val="Colorful Shading"/>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2297A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2297AA" w:themeColor="accent2"/>
        <w:left w:val="single" w:sz="4" w:space="0" w:color="1B3D6F" w:themeColor="accent1"/>
        <w:bottom w:val="single" w:sz="4" w:space="0" w:color="1B3D6F" w:themeColor="accent1"/>
        <w:right w:val="single" w:sz="4" w:space="0" w:color="1B3D6F" w:themeColor="accent1"/>
        <w:insideH w:val="single" w:sz="4" w:space="0" w:color="FFFFFF" w:themeColor="background1"/>
        <w:insideV w:val="single" w:sz="4" w:space="0" w:color="FFFFFF" w:themeColor="background1"/>
      </w:tblBorders>
    </w:tblPr>
    <w:tcPr>
      <w:shd w:val="clear" w:color="auto" w:fill="E1EAF7" w:themeFill="accent1"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2442" w:themeFill="accent1" w:themeFillShade="99"/>
      </w:tcPr>
    </w:tblStylePr>
    <w:tblStylePr w:type="firstCol">
      <w:rPr>
        <w:color w:val="FFFFFF" w:themeColor="background1"/>
      </w:rPr>
      <w:tblPr/>
      <w:tcPr>
        <w:tcBorders>
          <w:top w:val="nil"/>
          <w:left w:val="nil"/>
          <w:bottom w:val="nil"/>
          <w:right w:val="nil"/>
          <w:insideH w:val="single" w:sz="4" w:space="0" w:color="102442" w:themeColor="accent1" w:themeShade="99"/>
          <w:insideV w:val="nil"/>
        </w:tcBorders>
        <w:shd w:val="clear" w:color="auto" w:fill="1024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2442" w:themeFill="accent1" w:themeFillShade="99"/>
      </w:tcPr>
    </w:tblStylePr>
    <w:tblStylePr w:type="band1Vert">
      <w:tblPr/>
      <w:tcPr>
        <w:shd w:val="clear" w:color="auto" w:fill="87ABE1" w:themeFill="accent1" w:themeFillTint="66"/>
      </w:tcPr>
    </w:tblStylePr>
    <w:tblStylePr w:type="band1Horz">
      <w:tblPr/>
      <w:tcPr>
        <w:shd w:val="clear" w:color="auto" w:fill="6997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2297AA" w:themeColor="accent2"/>
        <w:left w:val="single" w:sz="4" w:space="0" w:color="2297AA" w:themeColor="accent2"/>
        <w:bottom w:val="single" w:sz="4" w:space="0" w:color="2297AA" w:themeColor="accent2"/>
        <w:right w:val="single" w:sz="4" w:space="0" w:color="2297AA" w:themeColor="accent2"/>
        <w:insideH w:val="single" w:sz="4" w:space="0" w:color="FFFFFF" w:themeColor="background1"/>
        <w:insideV w:val="single" w:sz="4" w:space="0" w:color="FFFFFF" w:themeColor="background1"/>
      </w:tblBorders>
    </w:tblPr>
    <w:tcPr>
      <w:shd w:val="clear" w:color="auto" w:fill="E6F7FA" w:themeFill="accent2"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5A65" w:themeFill="accent2" w:themeFillShade="99"/>
      </w:tcPr>
    </w:tblStylePr>
    <w:tblStylePr w:type="firstCol">
      <w:rPr>
        <w:color w:val="FFFFFF" w:themeColor="background1"/>
      </w:rPr>
      <w:tblPr/>
      <w:tcPr>
        <w:tcBorders>
          <w:top w:val="nil"/>
          <w:left w:val="nil"/>
          <w:bottom w:val="nil"/>
          <w:right w:val="nil"/>
          <w:insideH w:val="single" w:sz="4" w:space="0" w:color="145A65" w:themeColor="accent2" w:themeShade="99"/>
          <w:insideV w:val="nil"/>
        </w:tcBorders>
        <w:shd w:val="clear" w:color="auto" w:fill="145A6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5A65" w:themeFill="accent2" w:themeFillShade="99"/>
      </w:tcPr>
    </w:tblStylePr>
    <w:tblStylePr w:type="band1Vert">
      <w:tblPr/>
      <w:tcPr>
        <w:shd w:val="clear" w:color="auto" w:fill="98DFEA" w:themeFill="accent2" w:themeFillTint="66"/>
      </w:tcPr>
    </w:tblStylePr>
    <w:tblStylePr w:type="band1Horz">
      <w:tblPr/>
      <w:tcPr>
        <w:shd w:val="clear" w:color="auto" w:fill="7FD7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F3BD48" w:themeColor="accent4"/>
        <w:left w:val="single" w:sz="4" w:space="0" w:color="37BA95" w:themeColor="accent3"/>
        <w:bottom w:val="single" w:sz="4" w:space="0" w:color="37BA95" w:themeColor="accent3"/>
        <w:right w:val="single" w:sz="4" w:space="0" w:color="37BA95" w:themeColor="accent3"/>
        <w:insideH w:val="single" w:sz="4" w:space="0" w:color="FFFFFF" w:themeColor="background1"/>
        <w:insideV w:val="single" w:sz="4" w:space="0" w:color="FFFFFF" w:themeColor="background1"/>
      </w:tblBorders>
    </w:tblPr>
    <w:tcPr>
      <w:shd w:val="clear" w:color="auto" w:fill="EAF9F4" w:themeFill="accent3" w:themeFillTint="19"/>
    </w:tcPr>
    <w:tblStylePr w:type="firstRow">
      <w:rPr>
        <w:b/>
        <w:bCs/>
      </w:rPr>
      <w:tblPr/>
      <w:tcPr>
        <w:tcBorders>
          <w:top w:val="nil"/>
          <w:left w:val="nil"/>
          <w:bottom w:val="single" w:sz="24" w:space="0" w:color="F3BD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F58" w:themeFill="accent3" w:themeFillShade="99"/>
      </w:tcPr>
    </w:tblStylePr>
    <w:tblStylePr w:type="firstCol">
      <w:rPr>
        <w:color w:val="FFFFFF" w:themeColor="background1"/>
      </w:rPr>
      <w:tblPr/>
      <w:tcPr>
        <w:tcBorders>
          <w:top w:val="nil"/>
          <w:left w:val="nil"/>
          <w:bottom w:val="nil"/>
          <w:right w:val="nil"/>
          <w:insideH w:val="single" w:sz="4" w:space="0" w:color="216F58" w:themeColor="accent3" w:themeShade="99"/>
          <w:insideV w:val="nil"/>
        </w:tcBorders>
        <w:shd w:val="clear" w:color="auto" w:fill="216F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6F58" w:themeFill="accent3" w:themeFillShade="99"/>
      </w:tcPr>
    </w:tblStylePr>
    <w:tblStylePr w:type="band1Vert">
      <w:tblPr/>
      <w:tcPr>
        <w:shd w:val="clear" w:color="auto" w:fill="ABE6D5" w:themeFill="accent3" w:themeFillTint="66"/>
      </w:tcPr>
    </w:tblStylePr>
    <w:tblStylePr w:type="band1Horz">
      <w:tblPr/>
      <w:tcPr>
        <w:shd w:val="clear" w:color="auto" w:fill="97E0CB" w:themeFill="accent3" w:themeFillTint="7F"/>
      </w:tcPr>
    </w:tblStylePr>
  </w:style>
  <w:style w:type="table" w:styleId="ColorfulShading-Accent4">
    <w:name w:val="Colorful Shading Accent 4"/>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37BA95" w:themeColor="accent3"/>
        <w:left w:val="single" w:sz="4" w:space="0" w:color="F3BD48" w:themeColor="accent4"/>
        <w:bottom w:val="single" w:sz="4" w:space="0" w:color="F3BD48" w:themeColor="accent4"/>
        <w:right w:val="single" w:sz="4" w:space="0" w:color="F3BD48" w:themeColor="accent4"/>
        <w:insideH w:val="single" w:sz="4" w:space="0" w:color="FFFFFF" w:themeColor="background1"/>
        <w:insideV w:val="single" w:sz="4" w:space="0" w:color="FFFFFF" w:themeColor="background1"/>
      </w:tblBorders>
    </w:tblPr>
    <w:tcPr>
      <w:shd w:val="clear" w:color="auto" w:fill="FDF8EC" w:themeFill="accent4" w:themeFillTint="19"/>
    </w:tcPr>
    <w:tblStylePr w:type="firstRow">
      <w:rPr>
        <w:b/>
        <w:bCs/>
      </w:rPr>
      <w:tblPr/>
      <w:tcPr>
        <w:tcBorders>
          <w:top w:val="nil"/>
          <w:left w:val="nil"/>
          <w:bottom w:val="single" w:sz="24" w:space="0" w:color="37BA9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7C0B" w:themeFill="accent4" w:themeFillShade="99"/>
      </w:tcPr>
    </w:tblStylePr>
    <w:tblStylePr w:type="firstCol">
      <w:rPr>
        <w:color w:val="FFFFFF" w:themeColor="background1"/>
      </w:rPr>
      <w:tblPr/>
      <w:tcPr>
        <w:tcBorders>
          <w:top w:val="nil"/>
          <w:left w:val="nil"/>
          <w:bottom w:val="nil"/>
          <w:right w:val="nil"/>
          <w:insideH w:val="single" w:sz="4" w:space="0" w:color="B17C0B" w:themeColor="accent4" w:themeShade="99"/>
          <w:insideV w:val="nil"/>
        </w:tcBorders>
        <w:shd w:val="clear" w:color="auto" w:fill="B17C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17C0B" w:themeFill="accent4" w:themeFillShade="99"/>
      </w:tcPr>
    </w:tblStylePr>
    <w:tblStylePr w:type="band1Vert">
      <w:tblPr/>
      <w:tcPr>
        <w:shd w:val="clear" w:color="auto" w:fill="FAE4B5" w:themeFill="accent4" w:themeFillTint="66"/>
      </w:tcPr>
    </w:tblStylePr>
    <w:tblStylePr w:type="band1Horz">
      <w:tblPr/>
      <w:tcPr>
        <w:shd w:val="clear" w:color="auto" w:fill="F9DD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CD3E71" w:themeColor="accent6"/>
        <w:left w:val="single" w:sz="4" w:space="0" w:color="F26A25" w:themeColor="accent5"/>
        <w:bottom w:val="single" w:sz="4" w:space="0" w:color="F26A25" w:themeColor="accent5"/>
        <w:right w:val="single" w:sz="4" w:space="0" w:color="F26A25" w:themeColor="accent5"/>
        <w:insideH w:val="single" w:sz="4" w:space="0" w:color="FFFFFF" w:themeColor="background1"/>
        <w:insideV w:val="single" w:sz="4" w:space="0" w:color="FFFFFF" w:themeColor="background1"/>
      </w:tblBorders>
    </w:tblPr>
    <w:tcPr>
      <w:shd w:val="clear" w:color="auto" w:fill="FDF0E9" w:themeFill="accent5" w:themeFillTint="19"/>
    </w:tcPr>
    <w:tblStylePr w:type="firstRow">
      <w:rPr>
        <w:b/>
        <w:bCs/>
      </w:rPr>
      <w:tblPr/>
      <w:tcPr>
        <w:tcBorders>
          <w:top w:val="nil"/>
          <w:left w:val="nil"/>
          <w:bottom w:val="single" w:sz="24" w:space="0" w:color="CD3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3A09" w:themeFill="accent5" w:themeFillShade="99"/>
      </w:tcPr>
    </w:tblStylePr>
    <w:tblStylePr w:type="firstCol">
      <w:rPr>
        <w:color w:val="FFFFFF" w:themeColor="background1"/>
      </w:rPr>
      <w:tblPr/>
      <w:tcPr>
        <w:tcBorders>
          <w:top w:val="nil"/>
          <w:left w:val="nil"/>
          <w:bottom w:val="nil"/>
          <w:right w:val="nil"/>
          <w:insideH w:val="single" w:sz="4" w:space="0" w:color="9D3A09" w:themeColor="accent5" w:themeShade="99"/>
          <w:insideV w:val="nil"/>
        </w:tcBorders>
        <w:shd w:val="clear" w:color="auto" w:fill="9D3A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3A09" w:themeFill="accent5" w:themeFillShade="99"/>
      </w:tcPr>
    </w:tblStylePr>
    <w:tblStylePr w:type="band1Vert">
      <w:tblPr/>
      <w:tcPr>
        <w:shd w:val="clear" w:color="auto" w:fill="F9C2A7" w:themeFill="accent5" w:themeFillTint="66"/>
      </w:tcPr>
    </w:tblStylePr>
    <w:tblStylePr w:type="band1Horz">
      <w:tblPr/>
      <w:tcPr>
        <w:shd w:val="clear" w:color="auto" w:fill="F8B49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2100"/>
    <w:pPr>
      <w:spacing w:line="240" w:lineRule="auto"/>
    </w:pPr>
    <w:rPr>
      <w:color w:val="000000" w:themeColor="text1"/>
    </w:rPr>
    <w:tblPr>
      <w:tblStyleRowBandSize w:val="1"/>
      <w:tblStyleColBandSize w:val="1"/>
      <w:tblBorders>
        <w:top w:val="single" w:sz="24" w:space="0" w:color="F26A25" w:themeColor="accent5"/>
        <w:left w:val="single" w:sz="4" w:space="0" w:color="CD3E71" w:themeColor="accent6"/>
        <w:bottom w:val="single" w:sz="4" w:space="0" w:color="CD3E71" w:themeColor="accent6"/>
        <w:right w:val="single" w:sz="4" w:space="0" w:color="CD3E71" w:themeColor="accent6"/>
        <w:insideH w:val="single" w:sz="4" w:space="0" w:color="FFFFFF" w:themeColor="background1"/>
        <w:insideV w:val="single" w:sz="4" w:space="0" w:color="FFFFFF" w:themeColor="background1"/>
      </w:tblBorders>
    </w:tblPr>
    <w:tcPr>
      <w:shd w:val="clear" w:color="auto" w:fill="FAEBF0" w:themeFill="accent6" w:themeFillTint="19"/>
    </w:tcPr>
    <w:tblStylePr w:type="firstRow">
      <w:rPr>
        <w:b/>
        <w:bCs/>
      </w:rPr>
      <w:tblPr/>
      <w:tcPr>
        <w:tcBorders>
          <w:top w:val="nil"/>
          <w:left w:val="nil"/>
          <w:bottom w:val="single" w:sz="24" w:space="0" w:color="F26A2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2142" w:themeFill="accent6" w:themeFillShade="99"/>
      </w:tcPr>
    </w:tblStylePr>
    <w:tblStylePr w:type="firstCol">
      <w:rPr>
        <w:color w:val="FFFFFF" w:themeColor="background1"/>
      </w:rPr>
      <w:tblPr/>
      <w:tcPr>
        <w:tcBorders>
          <w:top w:val="nil"/>
          <w:left w:val="nil"/>
          <w:bottom w:val="nil"/>
          <w:right w:val="nil"/>
          <w:insideH w:val="single" w:sz="4" w:space="0" w:color="7F2142" w:themeColor="accent6" w:themeShade="99"/>
          <w:insideV w:val="nil"/>
        </w:tcBorders>
        <w:shd w:val="clear" w:color="auto" w:fill="7F214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2142" w:themeFill="accent6" w:themeFillShade="99"/>
      </w:tcPr>
    </w:tblStylePr>
    <w:tblStylePr w:type="band1Vert">
      <w:tblPr/>
      <w:tcPr>
        <w:shd w:val="clear" w:color="auto" w:fill="EBB1C5" w:themeFill="accent6" w:themeFillTint="66"/>
      </w:tcPr>
    </w:tblStylePr>
    <w:tblStylePr w:type="band1Horz">
      <w:tblPr/>
      <w:tcPr>
        <w:shd w:val="clear" w:color="auto" w:fill="E69EB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1B3D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E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2D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2D53" w:themeFill="accent1" w:themeFillShade="BF"/>
      </w:tcPr>
    </w:tblStylePr>
    <w:tblStylePr w:type="band1Vert">
      <w:tblPr/>
      <w:tcPr>
        <w:tcBorders>
          <w:top w:val="nil"/>
          <w:left w:val="nil"/>
          <w:bottom w:val="nil"/>
          <w:right w:val="nil"/>
          <w:insideH w:val="nil"/>
          <w:insideV w:val="nil"/>
        </w:tcBorders>
        <w:shd w:val="clear" w:color="auto" w:fill="142D53" w:themeFill="accent1" w:themeFillShade="BF"/>
      </w:tcPr>
    </w:tblStylePr>
    <w:tblStylePr w:type="band1Horz">
      <w:tblPr/>
      <w:tcPr>
        <w:tcBorders>
          <w:top w:val="nil"/>
          <w:left w:val="nil"/>
          <w:bottom w:val="nil"/>
          <w:right w:val="nil"/>
          <w:insideH w:val="nil"/>
          <w:insideV w:val="nil"/>
        </w:tcBorders>
        <w:shd w:val="clear" w:color="auto" w:fill="142D53" w:themeFill="accent1" w:themeFillShade="BF"/>
      </w:tcPr>
    </w:tblStylePr>
  </w:style>
  <w:style w:type="table" w:styleId="DarkList-Accent2">
    <w:name w:val="Dark List Accent 2"/>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2297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4A5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07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07F" w:themeFill="accent2" w:themeFillShade="BF"/>
      </w:tcPr>
    </w:tblStylePr>
    <w:tblStylePr w:type="band1Vert">
      <w:tblPr/>
      <w:tcPr>
        <w:tcBorders>
          <w:top w:val="nil"/>
          <w:left w:val="nil"/>
          <w:bottom w:val="nil"/>
          <w:right w:val="nil"/>
          <w:insideH w:val="nil"/>
          <w:insideV w:val="nil"/>
        </w:tcBorders>
        <w:shd w:val="clear" w:color="auto" w:fill="19707F" w:themeFill="accent2" w:themeFillShade="BF"/>
      </w:tcPr>
    </w:tblStylePr>
    <w:tblStylePr w:type="band1Horz">
      <w:tblPr/>
      <w:tcPr>
        <w:tcBorders>
          <w:top w:val="nil"/>
          <w:left w:val="nil"/>
          <w:bottom w:val="nil"/>
          <w:right w:val="nil"/>
          <w:insideH w:val="nil"/>
          <w:insideV w:val="nil"/>
        </w:tcBorders>
        <w:shd w:val="clear" w:color="auto" w:fill="19707F" w:themeFill="accent2" w:themeFillShade="BF"/>
      </w:tcPr>
    </w:tblStylePr>
  </w:style>
  <w:style w:type="table" w:styleId="DarkList-Accent3">
    <w:name w:val="Dark List Accent 3"/>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37BA9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C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8B6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8B6F" w:themeFill="accent3" w:themeFillShade="BF"/>
      </w:tcPr>
    </w:tblStylePr>
    <w:tblStylePr w:type="band1Vert">
      <w:tblPr/>
      <w:tcPr>
        <w:tcBorders>
          <w:top w:val="nil"/>
          <w:left w:val="nil"/>
          <w:bottom w:val="nil"/>
          <w:right w:val="nil"/>
          <w:insideH w:val="nil"/>
          <w:insideV w:val="nil"/>
        </w:tcBorders>
        <w:shd w:val="clear" w:color="auto" w:fill="298B6F" w:themeFill="accent3" w:themeFillShade="BF"/>
      </w:tcPr>
    </w:tblStylePr>
    <w:tblStylePr w:type="band1Horz">
      <w:tblPr/>
      <w:tcPr>
        <w:tcBorders>
          <w:top w:val="nil"/>
          <w:left w:val="nil"/>
          <w:bottom w:val="nil"/>
          <w:right w:val="nil"/>
          <w:insideH w:val="nil"/>
          <w:insideV w:val="nil"/>
        </w:tcBorders>
        <w:shd w:val="clear" w:color="auto" w:fill="298B6F" w:themeFill="accent3" w:themeFillShade="BF"/>
      </w:tcPr>
    </w:tblStylePr>
  </w:style>
  <w:style w:type="table" w:styleId="DarkList-Accent4">
    <w:name w:val="Dark List Accent 4"/>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F3BD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9B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9B0E" w:themeFill="accent4" w:themeFillShade="BF"/>
      </w:tcPr>
    </w:tblStylePr>
    <w:tblStylePr w:type="band1Vert">
      <w:tblPr/>
      <w:tcPr>
        <w:tcBorders>
          <w:top w:val="nil"/>
          <w:left w:val="nil"/>
          <w:bottom w:val="nil"/>
          <w:right w:val="nil"/>
          <w:insideH w:val="nil"/>
          <w:insideV w:val="nil"/>
        </w:tcBorders>
        <w:shd w:val="clear" w:color="auto" w:fill="DD9B0E" w:themeFill="accent4" w:themeFillShade="BF"/>
      </w:tcPr>
    </w:tblStylePr>
    <w:tblStylePr w:type="band1Horz">
      <w:tblPr/>
      <w:tcPr>
        <w:tcBorders>
          <w:top w:val="nil"/>
          <w:left w:val="nil"/>
          <w:bottom w:val="nil"/>
          <w:right w:val="nil"/>
          <w:insideH w:val="nil"/>
          <w:insideV w:val="nil"/>
        </w:tcBorders>
        <w:shd w:val="clear" w:color="auto" w:fill="DD9B0E" w:themeFill="accent4" w:themeFillShade="BF"/>
      </w:tcPr>
    </w:tblStylePr>
  </w:style>
  <w:style w:type="table" w:styleId="DarkList-Accent5">
    <w:name w:val="Dark List Accent 5"/>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F26A2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0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49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490B" w:themeFill="accent5" w:themeFillShade="BF"/>
      </w:tcPr>
    </w:tblStylePr>
    <w:tblStylePr w:type="band1Vert">
      <w:tblPr/>
      <w:tcPr>
        <w:tcBorders>
          <w:top w:val="nil"/>
          <w:left w:val="nil"/>
          <w:bottom w:val="nil"/>
          <w:right w:val="nil"/>
          <w:insideH w:val="nil"/>
          <w:insideV w:val="nil"/>
        </w:tcBorders>
        <w:shd w:val="clear" w:color="auto" w:fill="C4490B" w:themeFill="accent5" w:themeFillShade="BF"/>
      </w:tcPr>
    </w:tblStylePr>
    <w:tblStylePr w:type="band1Horz">
      <w:tblPr/>
      <w:tcPr>
        <w:tcBorders>
          <w:top w:val="nil"/>
          <w:left w:val="nil"/>
          <w:bottom w:val="nil"/>
          <w:right w:val="nil"/>
          <w:insideH w:val="nil"/>
          <w:insideV w:val="nil"/>
        </w:tcBorders>
        <w:shd w:val="clear" w:color="auto" w:fill="C4490B" w:themeFill="accent5" w:themeFillShade="BF"/>
      </w:tcPr>
    </w:tblStylePr>
  </w:style>
  <w:style w:type="table" w:styleId="DarkList-Accent6">
    <w:name w:val="Dark List Accent 6"/>
    <w:basedOn w:val="TableNormal"/>
    <w:uiPriority w:val="70"/>
    <w:semiHidden/>
    <w:unhideWhenUsed/>
    <w:rsid w:val="00DE2100"/>
    <w:pPr>
      <w:spacing w:line="240" w:lineRule="auto"/>
    </w:pPr>
    <w:rPr>
      <w:color w:val="FFFFFF" w:themeColor="background1"/>
    </w:rPr>
    <w:tblPr>
      <w:tblStyleRowBandSize w:val="1"/>
      <w:tblStyleColBandSize w:val="1"/>
    </w:tblPr>
    <w:tcPr>
      <w:shd w:val="clear" w:color="auto" w:fill="CD3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1B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295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2952" w:themeFill="accent6" w:themeFillShade="BF"/>
      </w:tcPr>
    </w:tblStylePr>
    <w:tblStylePr w:type="band1Vert">
      <w:tblPr/>
      <w:tcPr>
        <w:tcBorders>
          <w:top w:val="nil"/>
          <w:left w:val="nil"/>
          <w:bottom w:val="nil"/>
          <w:right w:val="nil"/>
          <w:insideH w:val="nil"/>
          <w:insideV w:val="nil"/>
        </w:tcBorders>
        <w:shd w:val="clear" w:color="auto" w:fill="9E2952" w:themeFill="accent6" w:themeFillShade="BF"/>
      </w:tcPr>
    </w:tblStylePr>
    <w:tblStylePr w:type="band1Horz">
      <w:tblPr/>
      <w:tcPr>
        <w:tcBorders>
          <w:top w:val="nil"/>
          <w:left w:val="nil"/>
          <w:bottom w:val="nil"/>
          <w:right w:val="nil"/>
          <w:insideH w:val="nil"/>
          <w:insideV w:val="nil"/>
        </w:tcBorders>
        <w:shd w:val="clear" w:color="auto" w:fill="9E2952" w:themeFill="accent6" w:themeFillShade="BF"/>
      </w:tcPr>
    </w:tblStylePr>
  </w:style>
  <w:style w:type="paragraph" w:styleId="Date">
    <w:name w:val="Date"/>
    <w:basedOn w:val="Normal"/>
    <w:next w:val="Normal"/>
    <w:link w:val="DateChar"/>
    <w:uiPriority w:val="99"/>
    <w:semiHidden/>
    <w:unhideWhenUsed/>
    <w:rsid w:val="00DE2100"/>
  </w:style>
  <w:style w:type="character" w:customStyle="1" w:styleId="DateChar">
    <w:name w:val="Date Char"/>
    <w:basedOn w:val="DefaultParagraphFont"/>
    <w:link w:val="Date"/>
    <w:uiPriority w:val="99"/>
    <w:semiHidden/>
    <w:rsid w:val="00DE2100"/>
    <w:rPr>
      <w:sz w:val="24"/>
    </w:rPr>
  </w:style>
  <w:style w:type="paragraph" w:styleId="DocumentMap">
    <w:name w:val="Document Map"/>
    <w:basedOn w:val="Normal"/>
    <w:link w:val="DocumentMapChar"/>
    <w:uiPriority w:val="99"/>
    <w:semiHidden/>
    <w:unhideWhenUsed/>
    <w:rsid w:val="00DE210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2100"/>
    <w:rPr>
      <w:rFonts w:ascii="Segoe UI" w:hAnsi="Segoe UI" w:cs="Segoe UI"/>
      <w:sz w:val="16"/>
      <w:szCs w:val="16"/>
    </w:rPr>
  </w:style>
  <w:style w:type="paragraph" w:styleId="E-mailSignature">
    <w:name w:val="E-mail Signature"/>
    <w:basedOn w:val="Normal"/>
    <w:link w:val="E-mailSignatureChar"/>
    <w:uiPriority w:val="99"/>
    <w:semiHidden/>
    <w:unhideWhenUsed/>
    <w:rsid w:val="00DE2100"/>
    <w:pPr>
      <w:spacing w:line="240" w:lineRule="auto"/>
    </w:pPr>
  </w:style>
  <w:style w:type="character" w:customStyle="1" w:styleId="E-mailSignatureChar">
    <w:name w:val="E-mail Signature Char"/>
    <w:basedOn w:val="DefaultParagraphFont"/>
    <w:link w:val="E-mailSignature"/>
    <w:uiPriority w:val="99"/>
    <w:semiHidden/>
    <w:rsid w:val="00DE2100"/>
    <w:rPr>
      <w:sz w:val="24"/>
    </w:rPr>
  </w:style>
  <w:style w:type="paragraph" w:styleId="EnvelopeAddress">
    <w:name w:val="envelope address"/>
    <w:basedOn w:val="Normal"/>
    <w:uiPriority w:val="99"/>
    <w:semiHidden/>
    <w:unhideWhenUsed/>
    <w:rsid w:val="00DE2100"/>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E2100"/>
    <w:pPr>
      <w:spacing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unhideWhenUsed/>
    <w:rsid w:val="00DE210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unhideWhenUsed/>
    <w:rsid w:val="00DE2100"/>
    <w:pPr>
      <w:spacing w:line="240" w:lineRule="auto"/>
    </w:pPr>
    <w:tblPr>
      <w:tblStyleRowBandSize w:val="1"/>
      <w:tblStyleColBandSize w:val="1"/>
      <w:tblBorders>
        <w:top w:val="single" w:sz="4" w:space="0" w:color="87ABE1" w:themeColor="accent1" w:themeTint="66"/>
        <w:left w:val="single" w:sz="4" w:space="0" w:color="87ABE1" w:themeColor="accent1" w:themeTint="66"/>
        <w:bottom w:val="single" w:sz="4" w:space="0" w:color="87ABE1" w:themeColor="accent1" w:themeTint="66"/>
        <w:right w:val="single" w:sz="4" w:space="0" w:color="87ABE1" w:themeColor="accent1" w:themeTint="66"/>
        <w:insideH w:val="single" w:sz="4" w:space="0" w:color="87ABE1" w:themeColor="accent1" w:themeTint="66"/>
        <w:insideV w:val="single" w:sz="4" w:space="0" w:color="87ABE1" w:themeColor="accent1" w:themeTint="66"/>
      </w:tblBorders>
    </w:tblPr>
    <w:tblStylePr w:type="firstRow">
      <w:rPr>
        <w:b/>
        <w:bCs/>
      </w:rPr>
      <w:tblPr/>
      <w:tcPr>
        <w:tcBorders>
          <w:bottom w:val="single" w:sz="12" w:space="0" w:color="4B82D3" w:themeColor="accent1" w:themeTint="99"/>
        </w:tcBorders>
      </w:tcPr>
    </w:tblStylePr>
    <w:tblStylePr w:type="lastRow">
      <w:rPr>
        <w:b/>
        <w:bCs/>
      </w:rPr>
      <w:tblPr/>
      <w:tcPr>
        <w:tcBorders>
          <w:top w:val="double" w:sz="2" w:space="0" w:color="4B82D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DE2100"/>
    <w:pPr>
      <w:spacing w:line="240" w:lineRule="auto"/>
    </w:pPr>
    <w:tblPr>
      <w:tblStyleRowBandSize w:val="1"/>
      <w:tblStyleColBandSize w:val="1"/>
      <w:tblBorders>
        <w:top w:val="single" w:sz="4" w:space="0" w:color="ABE6D5" w:themeColor="accent3" w:themeTint="66"/>
        <w:left w:val="single" w:sz="4" w:space="0" w:color="ABE6D5" w:themeColor="accent3" w:themeTint="66"/>
        <w:bottom w:val="single" w:sz="4" w:space="0" w:color="ABE6D5" w:themeColor="accent3" w:themeTint="66"/>
        <w:right w:val="single" w:sz="4" w:space="0" w:color="ABE6D5" w:themeColor="accent3" w:themeTint="66"/>
        <w:insideH w:val="single" w:sz="4" w:space="0" w:color="ABE6D5" w:themeColor="accent3" w:themeTint="66"/>
        <w:insideV w:val="single" w:sz="4" w:space="0" w:color="ABE6D5" w:themeColor="accent3" w:themeTint="66"/>
      </w:tblBorders>
    </w:tblPr>
    <w:tblStylePr w:type="firstRow">
      <w:rPr>
        <w:b/>
        <w:bCs/>
      </w:rPr>
      <w:tblPr/>
      <w:tcPr>
        <w:tcBorders>
          <w:bottom w:val="single" w:sz="12" w:space="0" w:color="82DAC0" w:themeColor="accent3" w:themeTint="99"/>
        </w:tcBorders>
      </w:tcPr>
    </w:tblStylePr>
    <w:tblStylePr w:type="lastRow">
      <w:rPr>
        <w:b/>
        <w:bCs/>
      </w:rPr>
      <w:tblPr/>
      <w:tcPr>
        <w:tcBorders>
          <w:top w:val="double" w:sz="2" w:space="0" w:color="82DA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DE2100"/>
    <w:pPr>
      <w:spacing w:line="240" w:lineRule="auto"/>
    </w:pPr>
    <w:tblPr>
      <w:tblStyleRowBandSize w:val="1"/>
      <w:tblStyleColBandSize w:val="1"/>
      <w:tblBorders>
        <w:top w:val="single" w:sz="4" w:space="0" w:color="FAE4B5" w:themeColor="accent4" w:themeTint="66"/>
        <w:left w:val="single" w:sz="4" w:space="0" w:color="FAE4B5" w:themeColor="accent4" w:themeTint="66"/>
        <w:bottom w:val="single" w:sz="4" w:space="0" w:color="FAE4B5" w:themeColor="accent4" w:themeTint="66"/>
        <w:right w:val="single" w:sz="4" w:space="0" w:color="FAE4B5" w:themeColor="accent4" w:themeTint="66"/>
        <w:insideH w:val="single" w:sz="4" w:space="0" w:color="FAE4B5" w:themeColor="accent4" w:themeTint="66"/>
        <w:insideV w:val="single" w:sz="4" w:space="0" w:color="FAE4B5" w:themeColor="accent4" w:themeTint="66"/>
      </w:tblBorders>
    </w:tblPr>
    <w:tblStylePr w:type="firstRow">
      <w:rPr>
        <w:b/>
        <w:bCs/>
      </w:rPr>
      <w:tblPr/>
      <w:tcPr>
        <w:tcBorders>
          <w:bottom w:val="single" w:sz="12" w:space="0" w:color="F7D791" w:themeColor="accent4" w:themeTint="99"/>
        </w:tcBorders>
      </w:tcPr>
    </w:tblStylePr>
    <w:tblStylePr w:type="lastRow">
      <w:rPr>
        <w:b/>
        <w:bCs/>
      </w:rPr>
      <w:tblPr/>
      <w:tcPr>
        <w:tcBorders>
          <w:top w:val="double" w:sz="2" w:space="0" w:color="F7D7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DE2100"/>
    <w:pPr>
      <w:spacing w:line="240" w:lineRule="auto"/>
    </w:pPr>
    <w:tblPr>
      <w:tblStyleRowBandSize w:val="1"/>
      <w:tblStyleColBandSize w:val="1"/>
      <w:tblBorders>
        <w:top w:val="single" w:sz="4" w:space="0" w:color="F9C2A7" w:themeColor="accent5" w:themeTint="66"/>
        <w:left w:val="single" w:sz="4" w:space="0" w:color="F9C2A7" w:themeColor="accent5" w:themeTint="66"/>
        <w:bottom w:val="single" w:sz="4" w:space="0" w:color="F9C2A7" w:themeColor="accent5" w:themeTint="66"/>
        <w:right w:val="single" w:sz="4" w:space="0" w:color="F9C2A7" w:themeColor="accent5" w:themeTint="66"/>
        <w:insideH w:val="single" w:sz="4" w:space="0" w:color="F9C2A7" w:themeColor="accent5" w:themeTint="66"/>
        <w:insideV w:val="single" w:sz="4" w:space="0" w:color="F9C2A7" w:themeColor="accent5" w:themeTint="66"/>
      </w:tblBorders>
    </w:tblPr>
    <w:tblStylePr w:type="firstRow">
      <w:rPr>
        <w:b/>
        <w:bCs/>
      </w:rPr>
      <w:tblPr/>
      <w:tcPr>
        <w:tcBorders>
          <w:bottom w:val="single" w:sz="12" w:space="0" w:color="F7A57C" w:themeColor="accent5" w:themeTint="99"/>
        </w:tcBorders>
      </w:tcPr>
    </w:tblStylePr>
    <w:tblStylePr w:type="lastRow">
      <w:rPr>
        <w:b/>
        <w:bCs/>
      </w:rPr>
      <w:tblPr/>
      <w:tcPr>
        <w:tcBorders>
          <w:top w:val="double" w:sz="2" w:space="0" w:color="F7A5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DE2100"/>
    <w:pPr>
      <w:spacing w:line="240" w:lineRule="auto"/>
    </w:pPr>
    <w:tblPr>
      <w:tblStyleRowBandSize w:val="1"/>
      <w:tblStyleColBandSize w:val="1"/>
      <w:tblBorders>
        <w:top w:val="single" w:sz="4" w:space="0" w:color="EBB1C5" w:themeColor="accent6" w:themeTint="66"/>
        <w:left w:val="single" w:sz="4" w:space="0" w:color="EBB1C5" w:themeColor="accent6" w:themeTint="66"/>
        <w:bottom w:val="single" w:sz="4" w:space="0" w:color="EBB1C5" w:themeColor="accent6" w:themeTint="66"/>
        <w:right w:val="single" w:sz="4" w:space="0" w:color="EBB1C5" w:themeColor="accent6" w:themeTint="66"/>
        <w:insideH w:val="single" w:sz="4" w:space="0" w:color="EBB1C5" w:themeColor="accent6" w:themeTint="66"/>
        <w:insideV w:val="single" w:sz="4" w:space="0" w:color="EBB1C5" w:themeColor="accent6" w:themeTint="66"/>
      </w:tblBorders>
    </w:tblPr>
    <w:tblStylePr w:type="firstRow">
      <w:rPr>
        <w:b/>
        <w:bCs/>
      </w:rPr>
      <w:tblPr/>
      <w:tcPr>
        <w:tcBorders>
          <w:bottom w:val="single" w:sz="12" w:space="0" w:color="E18BA9" w:themeColor="accent6" w:themeTint="99"/>
        </w:tcBorders>
      </w:tcPr>
    </w:tblStylePr>
    <w:tblStylePr w:type="lastRow">
      <w:rPr>
        <w:b/>
        <w:bCs/>
      </w:rPr>
      <w:tblPr/>
      <w:tcPr>
        <w:tcBorders>
          <w:top w:val="double" w:sz="2" w:space="0" w:color="E18BA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DE210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DE2100"/>
    <w:pPr>
      <w:spacing w:line="240" w:lineRule="auto"/>
    </w:pPr>
    <w:tblPr>
      <w:tblStyleRowBandSize w:val="1"/>
      <w:tblStyleColBandSize w:val="1"/>
      <w:tblBorders>
        <w:top w:val="single" w:sz="2" w:space="0" w:color="4B82D3" w:themeColor="accent1" w:themeTint="99"/>
        <w:bottom w:val="single" w:sz="2" w:space="0" w:color="4B82D3" w:themeColor="accent1" w:themeTint="99"/>
        <w:insideH w:val="single" w:sz="2" w:space="0" w:color="4B82D3" w:themeColor="accent1" w:themeTint="99"/>
        <w:insideV w:val="single" w:sz="2" w:space="0" w:color="4B82D3" w:themeColor="accent1" w:themeTint="99"/>
      </w:tblBorders>
    </w:tblPr>
    <w:tblStylePr w:type="firstRow">
      <w:rPr>
        <w:b/>
        <w:bCs/>
      </w:rPr>
      <w:tblPr/>
      <w:tcPr>
        <w:tcBorders>
          <w:top w:val="nil"/>
          <w:bottom w:val="single" w:sz="12" w:space="0" w:color="4B82D3" w:themeColor="accent1" w:themeTint="99"/>
          <w:insideH w:val="nil"/>
          <w:insideV w:val="nil"/>
        </w:tcBorders>
        <w:shd w:val="clear" w:color="auto" w:fill="FFFFFF" w:themeFill="background1"/>
      </w:tcPr>
    </w:tblStylePr>
    <w:tblStylePr w:type="lastRow">
      <w:rPr>
        <w:b/>
        <w:bCs/>
      </w:rPr>
      <w:tblPr/>
      <w:tcPr>
        <w:tcBorders>
          <w:top w:val="double" w:sz="2" w:space="0" w:color="4B82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2-Accent2">
    <w:name w:val="Grid Table 2 Accent 2"/>
    <w:basedOn w:val="TableNormal"/>
    <w:uiPriority w:val="47"/>
    <w:unhideWhenUsed/>
    <w:rsid w:val="00DE2100"/>
    <w:pPr>
      <w:spacing w:line="240" w:lineRule="auto"/>
    </w:pPr>
    <w:tblPr>
      <w:tblStyleRowBandSize w:val="1"/>
      <w:tblStyleColBandSize w:val="1"/>
      <w:tblBorders>
        <w:top w:val="single" w:sz="2" w:space="0" w:color="65CFE0" w:themeColor="accent2" w:themeTint="99"/>
        <w:bottom w:val="single" w:sz="2" w:space="0" w:color="65CFE0" w:themeColor="accent2" w:themeTint="99"/>
        <w:insideH w:val="single" w:sz="2" w:space="0" w:color="65CFE0" w:themeColor="accent2" w:themeTint="99"/>
        <w:insideV w:val="single" w:sz="2" w:space="0" w:color="65CFE0" w:themeColor="accent2" w:themeTint="99"/>
      </w:tblBorders>
    </w:tblPr>
    <w:tblStylePr w:type="firstRow">
      <w:rPr>
        <w:b/>
        <w:bCs/>
      </w:rPr>
      <w:tblPr/>
      <w:tcPr>
        <w:tcBorders>
          <w:top w:val="nil"/>
          <w:bottom w:val="single" w:sz="12" w:space="0" w:color="65CFE0" w:themeColor="accent2" w:themeTint="99"/>
          <w:insideH w:val="nil"/>
          <w:insideV w:val="nil"/>
        </w:tcBorders>
        <w:shd w:val="clear" w:color="auto" w:fill="FFFFFF" w:themeFill="background1"/>
      </w:tcPr>
    </w:tblStylePr>
    <w:tblStylePr w:type="lastRow">
      <w:rPr>
        <w:b/>
        <w:bCs/>
      </w:rPr>
      <w:tblPr/>
      <w:tcPr>
        <w:tcBorders>
          <w:top w:val="double" w:sz="2" w:space="0" w:color="65CF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2-Accent3">
    <w:name w:val="Grid Table 2 Accent 3"/>
    <w:basedOn w:val="TableNormal"/>
    <w:uiPriority w:val="47"/>
    <w:unhideWhenUsed/>
    <w:rsid w:val="00DE2100"/>
    <w:pPr>
      <w:spacing w:line="240" w:lineRule="auto"/>
    </w:pPr>
    <w:tblPr>
      <w:tblStyleRowBandSize w:val="1"/>
      <w:tblStyleColBandSize w:val="1"/>
      <w:tblBorders>
        <w:top w:val="single" w:sz="2" w:space="0" w:color="82DAC0" w:themeColor="accent3" w:themeTint="99"/>
        <w:bottom w:val="single" w:sz="2" w:space="0" w:color="82DAC0" w:themeColor="accent3" w:themeTint="99"/>
        <w:insideH w:val="single" w:sz="2" w:space="0" w:color="82DAC0" w:themeColor="accent3" w:themeTint="99"/>
        <w:insideV w:val="single" w:sz="2" w:space="0" w:color="82DAC0" w:themeColor="accent3" w:themeTint="99"/>
      </w:tblBorders>
    </w:tblPr>
    <w:tblStylePr w:type="firstRow">
      <w:rPr>
        <w:b/>
        <w:bCs/>
      </w:rPr>
      <w:tblPr/>
      <w:tcPr>
        <w:tcBorders>
          <w:top w:val="nil"/>
          <w:bottom w:val="single" w:sz="12" w:space="0" w:color="82DAC0" w:themeColor="accent3" w:themeTint="99"/>
          <w:insideH w:val="nil"/>
          <w:insideV w:val="nil"/>
        </w:tcBorders>
        <w:shd w:val="clear" w:color="auto" w:fill="FFFFFF" w:themeFill="background1"/>
      </w:tcPr>
    </w:tblStylePr>
    <w:tblStylePr w:type="lastRow">
      <w:rPr>
        <w:b/>
        <w:bCs/>
      </w:rPr>
      <w:tblPr/>
      <w:tcPr>
        <w:tcBorders>
          <w:top w:val="double" w:sz="2" w:space="0" w:color="82DA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2-Accent4">
    <w:name w:val="Grid Table 2 Accent 4"/>
    <w:basedOn w:val="TableNormal"/>
    <w:uiPriority w:val="47"/>
    <w:unhideWhenUsed/>
    <w:rsid w:val="00DE2100"/>
    <w:pPr>
      <w:spacing w:line="240" w:lineRule="auto"/>
    </w:pPr>
    <w:tblPr>
      <w:tblStyleRowBandSize w:val="1"/>
      <w:tblStyleColBandSize w:val="1"/>
      <w:tblBorders>
        <w:top w:val="single" w:sz="2" w:space="0" w:color="F7D791" w:themeColor="accent4" w:themeTint="99"/>
        <w:bottom w:val="single" w:sz="2" w:space="0" w:color="F7D791" w:themeColor="accent4" w:themeTint="99"/>
        <w:insideH w:val="single" w:sz="2" w:space="0" w:color="F7D791" w:themeColor="accent4" w:themeTint="99"/>
        <w:insideV w:val="single" w:sz="2" w:space="0" w:color="F7D791" w:themeColor="accent4" w:themeTint="99"/>
      </w:tblBorders>
    </w:tblPr>
    <w:tblStylePr w:type="firstRow">
      <w:rPr>
        <w:b/>
        <w:bCs/>
      </w:rPr>
      <w:tblPr/>
      <w:tcPr>
        <w:tcBorders>
          <w:top w:val="nil"/>
          <w:bottom w:val="single" w:sz="12" w:space="0" w:color="F7D791" w:themeColor="accent4" w:themeTint="99"/>
          <w:insideH w:val="nil"/>
          <w:insideV w:val="nil"/>
        </w:tcBorders>
        <w:shd w:val="clear" w:color="auto" w:fill="FFFFFF" w:themeFill="background1"/>
      </w:tcPr>
    </w:tblStylePr>
    <w:tblStylePr w:type="lastRow">
      <w:rPr>
        <w:b/>
        <w:bCs/>
      </w:rPr>
      <w:tblPr/>
      <w:tcPr>
        <w:tcBorders>
          <w:top w:val="double" w:sz="2" w:space="0" w:color="F7D7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2-Accent5">
    <w:name w:val="Grid Table 2 Accent 5"/>
    <w:basedOn w:val="TableNormal"/>
    <w:uiPriority w:val="47"/>
    <w:unhideWhenUsed/>
    <w:rsid w:val="00DE2100"/>
    <w:pPr>
      <w:spacing w:line="240" w:lineRule="auto"/>
    </w:pPr>
    <w:tblPr>
      <w:tblStyleRowBandSize w:val="1"/>
      <w:tblStyleColBandSize w:val="1"/>
      <w:tblBorders>
        <w:top w:val="single" w:sz="2" w:space="0" w:color="F7A57C" w:themeColor="accent5" w:themeTint="99"/>
        <w:bottom w:val="single" w:sz="2" w:space="0" w:color="F7A57C" w:themeColor="accent5" w:themeTint="99"/>
        <w:insideH w:val="single" w:sz="2" w:space="0" w:color="F7A57C" w:themeColor="accent5" w:themeTint="99"/>
        <w:insideV w:val="single" w:sz="2" w:space="0" w:color="F7A57C" w:themeColor="accent5" w:themeTint="99"/>
      </w:tblBorders>
    </w:tblPr>
    <w:tblStylePr w:type="firstRow">
      <w:rPr>
        <w:b/>
        <w:bCs/>
      </w:rPr>
      <w:tblPr/>
      <w:tcPr>
        <w:tcBorders>
          <w:top w:val="nil"/>
          <w:bottom w:val="single" w:sz="12" w:space="0" w:color="F7A57C" w:themeColor="accent5" w:themeTint="99"/>
          <w:insideH w:val="nil"/>
          <w:insideV w:val="nil"/>
        </w:tcBorders>
        <w:shd w:val="clear" w:color="auto" w:fill="FFFFFF" w:themeFill="background1"/>
      </w:tcPr>
    </w:tblStylePr>
    <w:tblStylePr w:type="lastRow">
      <w:rPr>
        <w:b/>
        <w:bCs/>
      </w:rPr>
      <w:tblPr/>
      <w:tcPr>
        <w:tcBorders>
          <w:top w:val="double" w:sz="2" w:space="0" w:color="F7A5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2-Accent6">
    <w:name w:val="Grid Table 2 Accent 6"/>
    <w:basedOn w:val="TableNormal"/>
    <w:uiPriority w:val="47"/>
    <w:unhideWhenUsed/>
    <w:rsid w:val="00DE2100"/>
    <w:pPr>
      <w:spacing w:line="240" w:lineRule="auto"/>
    </w:pPr>
    <w:tblPr>
      <w:tblStyleRowBandSize w:val="1"/>
      <w:tblStyleColBandSize w:val="1"/>
      <w:tblBorders>
        <w:top w:val="single" w:sz="2" w:space="0" w:color="E18BA9" w:themeColor="accent6" w:themeTint="99"/>
        <w:bottom w:val="single" w:sz="2" w:space="0" w:color="E18BA9" w:themeColor="accent6" w:themeTint="99"/>
        <w:insideH w:val="single" w:sz="2" w:space="0" w:color="E18BA9" w:themeColor="accent6" w:themeTint="99"/>
        <w:insideV w:val="single" w:sz="2" w:space="0" w:color="E18BA9" w:themeColor="accent6" w:themeTint="99"/>
      </w:tblBorders>
    </w:tblPr>
    <w:tblStylePr w:type="firstRow">
      <w:rPr>
        <w:b/>
        <w:bCs/>
      </w:rPr>
      <w:tblPr/>
      <w:tcPr>
        <w:tcBorders>
          <w:top w:val="nil"/>
          <w:bottom w:val="single" w:sz="12" w:space="0" w:color="E18BA9" w:themeColor="accent6" w:themeTint="99"/>
          <w:insideH w:val="nil"/>
          <w:insideV w:val="nil"/>
        </w:tcBorders>
        <w:shd w:val="clear" w:color="auto" w:fill="FFFFFF" w:themeFill="background1"/>
      </w:tcPr>
    </w:tblStylePr>
    <w:tblStylePr w:type="lastRow">
      <w:rPr>
        <w:b/>
        <w:bCs/>
      </w:rPr>
      <w:tblPr/>
      <w:tcPr>
        <w:tcBorders>
          <w:top w:val="double" w:sz="2" w:space="0" w:color="E18B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3">
    <w:name w:val="Grid Table 3"/>
    <w:basedOn w:val="TableNormal"/>
    <w:uiPriority w:val="48"/>
    <w:unhideWhenUsed/>
    <w:rsid w:val="00DE210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DE2100"/>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bottom w:val="single" w:sz="4" w:space="0" w:color="4B82D3" w:themeColor="accent1" w:themeTint="99"/>
        </w:tcBorders>
      </w:tcPr>
    </w:tblStylePr>
    <w:tblStylePr w:type="nwCell">
      <w:tblPr/>
      <w:tcPr>
        <w:tcBorders>
          <w:bottom w:val="single" w:sz="4" w:space="0" w:color="4B82D3" w:themeColor="accent1" w:themeTint="99"/>
        </w:tcBorders>
      </w:tcPr>
    </w:tblStylePr>
    <w:tblStylePr w:type="seCell">
      <w:tblPr/>
      <w:tcPr>
        <w:tcBorders>
          <w:top w:val="single" w:sz="4" w:space="0" w:color="4B82D3" w:themeColor="accent1" w:themeTint="99"/>
        </w:tcBorders>
      </w:tcPr>
    </w:tblStylePr>
    <w:tblStylePr w:type="swCell">
      <w:tblPr/>
      <w:tcPr>
        <w:tcBorders>
          <w:top w:val="single" w:sz="4" w:space="0" w:color="4B82D3" w:themeColor="accent1" w:themeTint="99"/>
        </w:tcBorders>
      </w:tcPr>
    </w:tblStylePr>
  </w:style>
  <w:style w:type="table" w:styleId="GridTable3-Accent2">
    <w:name w:val="Grid Table 3 Accent 2"/>
    <w:basedOn w:val="TableNormal"/>
    <w:uiPriority w:val="48"/>
    <w:unhideWhenUsed/>
    <w:rsid w:val="00DE2100"/>
    <w:pPr>
      <w:spacing w:line="240" w:lineRule="auto"/>
    </w:p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bottom w:val="single" w:sz="4" w:space="0" w:color="65CFE0" w:themeColor="accent2" w:themeTint="99"/>
        </w:tcBorders>
      </w:tcPr>
    </w:tblStylePr>
    <w:tblStylePr w:type="nwCell">
      <w:tblPr/>
      <w:tcPr>
        <w:tcBorders>
          <w:bottom w:val="single" w:sz="4" w:space="0" w:color="65CFE0" w:themeColor="accent2" w:themeTint="99"/>
        </w:tcBorders>
      </w:tcPr>
    </w:tblStylePr>
    <w:tblStylePr w:type="seCell">
      <w:tblPr/>
      <w:tcPr>
        <w:tcBorders>
          <w:top w:val="single" w:sz="4" w:space="0" w:color="65CFE0" w:themeColor="accent2" w:themeTint="99"/>
        </w:tcBorders>
      </w:tcPr>
    </w:tblStylePr>
    <w:tblStylePr w:type="swCell">
      <w:tblPr/>
      <w:tcPr>
        <w:tcBorders>
          <w:top w:val="single" w:sz="4" w:space="0" w:color="65CFE0" w:themeColor="accent2" w:themeTint="99"/>
        </w:tcBorders>
      </w:tcPr>
    </w:tblStylePr>
  </w:style>
  <w:style w:type="table" w:styleId="GridTable3-Accent3">
    <w:name w:val="Grid Table 3 Accent 3"/>
    <w:basedOn w:val="TableNormal"/>
    <w:uiPriority w:val="48"/>
    <w:unhideWhenUsed/>
    <w:rsid w:val="00DE2100"/>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bottom w:val="single" w:sz="4" w:space="0" w:color="82DAC0" w:themeColor="accent3" w:themeTint="99"/>
        </w:tcBorders>
      </w:tcPr>
    </w:tblStylePr>
    <w:tblStylePr w:type="nwCell">
      <w:tblPr/>
      <w:tcPr>
        <w:tcBorders>
          <w:bottom w:val="single" w:sz="4" w:space="0" w:color="82DAC0" w:themeColor="accent3" w:themeTint="99"/>
        </w:tcBorders>
      </w:tcPr>
    </w:tblStylePr>
    <w:tblStylePr w:type="seCell">
      <w:tblPr/>
      <w:tcPr>
        <w:tcBorders>
          <w:top w:val="single" w:sz="4" w:space="0" w:color="82DAC0" w:themeColor="accent3" w:themeTint="99"/>
        </w:tcBorders>
      </w:tcPr>
    </w:tblStylePr>
    <w:tblStylePr w:type="swCell">
      <w:tblPr/>
      <w:tcPr>
        <w:tcBorders>
          <w:top w:val="single" w:sz="4" w:space="0" w:color="82DAC0" w:themeColor="accent3" w:themeTint="99"/>
        </w:tcBorders>
      </w:tcPr>
    </w:tblStylePr>
  </w:style>
  <w:style w:type="table" w:styleId="GridTable3-Accent4">
    <w:name w:val="Grid Table 3 Accent 4"/>
    <w:basedOn w:val="TableNormal"/>
    <w:uiPriority w:val="48"/>
    <w:unhideWhenUsed/>
    <w:rsid w:val="00DE2100"/>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bottom w:val="single" w:sz="4" w:space="0" w:color="F7D791" w:themeColor="accent4" w:themeTint="99"/>
        </w:tcBorders>
      </w:tcPr>
    </w:tblStylePr>
    <w:tblStylePr w:type="nwCell">
      <w:tblPr/>
      <w:tcPr>
        <w:tcBorders>
          <w:bottom w:val="single" w:sz="4" w:space="0" w:color="F7D791" w:themeColor="accent4" w:themeTint="99"/>
        </w:tcBorders>
      </w:tcPr>
    </w:tblStylePr>
    <w:tblStylePr w:type="seCell">
      <w:tblPr/>
      <w:tcPr>
        <w:tcBorders>
          <w:top w:val="single" w:sz="4" w:space="0" w:color="F7D791" w:themeColor="accent4" w:themeTint="99"/>
        </w:tcBorders>
      </w:tcPr>
    </w:tblStylePr>
    <w:tblStylePr w:type="swCell">
      <w:tblPr/>
      <w:tcPr>
        <w:tcBorders>
          <w:top w:val="single" w:sz="4" w:space="0" w:color="F7D791" w:themeColor="accent4" w:themeTint="99"/>
        </w:tcBorders>
      </w:tcPr>
    </w:tblStylePr>
  </w:style>
  <w:style w:type="table" w:styleId="GridTable3-Accent5">
    <w:name w:val="Grid Table 3 Accent 5"/>
    <w:basedOn w:val="TableNormal"/>
    <w:uiPriority w:val="48"/>
    <w:unhideWhenUsed/>
    <w:rsid w:val="00DE2100"/>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bottom w:val="single" w:sz="4" w:space="0" w:color="F7A57C" w:themeColor="accent5" w:themeTint="99"/>
        </w:tcBorders>
      </w:tcPr>
    </w:tblStylePr>
    <w:tblStylePr w:type="nwCell">
      <w:tblPr/>
      <w:tcPr>
        <w:tcBorders>
          <w:bottom w:val="single" w:sz="4" w:space="0" w:color="F7A57C" w:themeColor="accent5" w:themeTint="99"/>
        </w:tcBorders>
      </w:tcPr>
    </w:tblStylePr>
    <w:tblStylePr w:type="seCell">
      <w:tblPr/>
      <w:tcPr>
        <w:tcBorders>
          <w:top w:val="single" w:sz="4" w:space="0" w:color="F7A57C" w:themeColor="accent5" w:themeTint="99"/>
        </w:tcBorders>
      </w:tcPr>
    </w:tblStylePr>
    <w:tblStylePr w:type="swCell">
      <w:tblPr/>
      <w:tcPr>
        <w:tcBorders>
          <w:top w:val="single" w:sz="4" w:space="0" w:color="F7A57C" w:themeColor="accent5" w:themeTint="99"/>
        </w:tcBorders>
      </w:tcPr>
    </w:tblStylePr>
  </w:style>
  <w:style w:type="table" w:styleId="GridTable3-Accent6">
    <w:name w:val="Grid Table 3 Accent 6"/>
    <w:basedOn w:val="TableNormal"/>
    <w:uiPriority w:val="48"/>
    <w:unhideWhenUsed/>
    <w:rsid w:val="00DE2100"/>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bottom w:val="single" w:sz="4" w:space="0" w:color="E18BA9" w:themeColor="accent6" w:themeTint="99"/>
        </w:tcBorders>
      </w:tcPr>
    </w:tblStylePr>
    <w:tblStylePr w:type="nwCell">
      <w:tblPr/>
      <w:tcPr>
        <w:tcBorders>
          <w:bottom w:val="single" w:sz="4" w:space="0" w:color="E18BA9" w:themeColor="accent6" w:themeTint="99"/>
        </w:tcBorders>
      </w:tcPr>
    </w:tblStylePr>
    <w:tblStylePr w:type="seCell">
      <w:tblPr/>
      <w:tcPr>
        <w:tcBorders>
          <w:top w:val="single" w:sz="4" w:space="0" w:color="E18BA9" w:themeColor="accent6" w:themeTint="99"/>
        </w:tcBorders>
      </w:tcPr>
    </w:tblStylePr>
    <w:tblStylePr w:type="swCell">
      <w:tblPr/>
      <w:tcPr>
        <w:tcBorders>
          <w:top w:val="single" w:sz="4" w:space="0" w:color="E18BA9" w:themeColor="accent6" w:themeTint="99"/>
        </w:tcBorders>
      </w:tcPr>
    </w:tblStylePr>
  </w:style>
  <w:style w:type="table" w:styleId="GridTable4">
    <w:name w:val="Grid Table 4"/>
    <w:basedOn w:val="TableNormal"/>
    <w:uiPriority w:val="49"/>
    <w:unhideWhenUsed/>
    <w:rsid w:val="00DE210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DE2100"/>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color w:val="FFFFFF" w:themeColor="background1"/>
      </w:rPr>
      <w:tblPr/>
      <w:tcPr>
        <w:tcBorders>
          <w:top w:val="single" w:sz="4" w:space="0" w:color="1B3D6F" w:themeColor="accent1"/>
          <w:left w:val="single" w:sz="4" w:space="0" w:color="1B3D6F" w:themeColor="accent1"/>
          <w:bottom w:val="single" w:sz="4" w:space="0" w:color="1B3D6F" w:themeColor="accent1"/>
          <w:right w:val="single" w:sz="4" w:space="0" w:color="1B3D6F" w:themeColor="accent1"/>
          <w:insideH w:val="nil"/>
          <w:insideV w:val="nil"/>
        </w:tcBorders>
        <w:shd w:val="clear" w:color="auto" w:fill="1B3D6F" w:themeFill="accent1"/>
      </w:tcPr>
    </w:tblStylePr>
    <w:tblStylePr w:type="lastRow">
      <w:rPr>
        <w:b/>
        <w:bCs/>
      </w:rPr>
      <w:tblPr/>
      <w:tcPr>
        <w:tcBorders>
          <w:top w:val="double" w:sz="4" w:space="0" w:color="1B3D6F" w:themeColor="accent1"/>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4-Accent2">
    <w:name w:val="Grid Table 4 Accent 2"/>
    <w:basedOn w:val="TableNormal"/>
    <w:uiPriority w:val="49"/>
    <w:unhideWhenUsed/>
    <w:rsid w:val="00DE2100"/>
    <w:pPr>
      <w:spacing w:line="240" w:lineRule="auto"/>
    </w:p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color w:val="FFFFFF" w:themeColor="background1"/>
      </w:rPr>
      <w:tblPr/>
      <w:tcPr>
        <w:tcBorders>
          <w:top w:val="single" w:sz="4" w:space="0" w:color="2297AA" w:themeColor="accent2"/>
          <w:left w:val="single" w:sz="4" w:space="0" w:color="2297AA" w:themeColor="accent2"/>
          <w:bottom w:val="single" w:sz="4" w:space="0" w:color="2297AA" w:themeColor="accent2"/>
          <w:right w:val="single" w:sz="4" w:space="0" w:color="2297AA" w:themeColor="accent2"/>
          <w:insideH w:val="nil"/>
          <w:insideV w:val="nil"/>
        </w:tcBorders>
        <w:shd w:val="clear" w:color="auto" w:fill="2297AA" w:themeFill="accent2"/>
      </w:tcPr>
    </w:tblStylePr>
    <w:tblStylePr w:type="lastRow">
      <w:rPr>
        <w:b/>
        <w:bCs/>
      </w:rPr>
      <w:tblPr/>
      <w:tcPr>
        <w:tcBorders>
          <w:top w:val="double" w:sz="4" w:space="0" w:color="2297AA" w:themeColor="accent2"/>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4-Accent3">
    <w:name w:val="Grid Table 4 Accent 3"/>
    <w:basedOn w:val="TableNormal"/>
    <w:uiPriority w:val="49"/>
    <w:unhideWhenUsed/>
    <w:rsid w:val="00DE2100"/>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color w:val="FFFFFF" w:themeColor="background1"/>
      </w:rPr>
      <w:tblPr/>
      <w:tcPr>
        <w:tcBorders>
          <w:top w:val="single" w:sz="4" w:space="0" w:color="37BA95" w:themeColor="accent3"/>
          <w:left w:val="single" w:sz="4" w:space="0" w:color="37BA95" w:themeColor="accent3"/>
          <w:bottom w:val="single" w:sz="4" w:space="0" w:color="37BA95" w:themeColor="accent3"/>
          <w:right w:val="single" w:sz="4" w:space="0" w:color="37BA95" w:themeColor="accent3"/>
          <w:insideH w:val="nil"/>
          <w:insideV w:val="nil"/>
        </w:tcBorders>
        <w:shd w:val="clear" w:color="auto" w:fill="37BA95" w:themeFill="accent3"/>
      </w:tcPr>
    </w:tblStylePr>
    <w:tblStylePr w:type="lastRow">
      <w:rPr>
        <w:b/>
        <w:bCs/>
      </w:rPr>
      <w:tblPr/>
      <w:tcPr>
        <w:tcBorders>
          <w:top w:val="double" w:sz="4" w:space="0" w:color="37BA95" w:themeColor="accent3"/>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4-Accent4">
    <w:name w:val="Grid Table 4 Accent 4"/>
    <w:basedOn w:val="TableNormal"/>
    <w:uiPriority w:val="49"/>
    <w:unhideWhenUsed/>
    <w:rsid w:val="00DE2100"/>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color w:val="FFFFFF" w:themeColor="background1"/>
      </w:rPr>
      <w:tblPr/>
      <w:tcPr>
        <w:tcBorders>
          <w:top w:val="single" w:sz="4" w:space="0" w:color="F3BD48" w:themeColor="accent4"/>
          <w:left w:val="single" w:sz="4" w:space="0" w:color="F3BD48" w:themeColor="accent4"/>
          <w:bottom w:val="single" w:sz="4" w:space="0" w:color="F3BD48" w:themeColor="accent4"/>
          <w:right w:val="single" w:sz="4" w:space="0" w:color="F3BD48" w:themeColor="accent4"/>
          <w:insideH w:val="nil"/>
          <w:insideV w:val="nil"/>
        </w:tcBorders>
        <w:shd w:val="clear" w:color="auto" w:fill="F3BD48" w:themeFill="accent4"/>
      </w:tcPr>
    </w:tblStylePr>
    <w:tblStylePr w:type="lastRow">
      <w:rPr>
        <w:b/>
        <w:bCs/>
      </w:rPr>
      <w:tblPr/>
      <w:tcPr>
        <w:tcBorders>
          <w:top w:val="double" w:sz="4" w:space="0" w:color="F3BD48" w:themeColor="accent4"/>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4-Accent5">
    <w:name w:val="Grid Table 4 Accent 5"/>
    <w:basedOn w:val="TableNormal"/>
    <w:uiPriority w:val="49"/>
    <w:unhideWhenUsed/>
    <w:rsid w:val="00DE2100"/>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color w:val="FFFFFF" w:themeColor="background1"/>
      </w:rPr>
      <w:tblPr/>
      <w:tcPr>
        <w:tcBorders>
          <w:top w:val="single" w:sz="4" w:space="0" w:color="F26A25" w:themeColor="accent5"/>
          <w:left w:val="single" w:sz="4" w:space="0" w:color="F26A25" w:themeColor="accent5"/>
          <w:bottom w:val="single" w:sz="4" w:space="0" w:color="F26A25" w:themeColor="accent5"/>
          <w:right w:val="single" w:sz="4" w:space="0" w:color="F26A25" w:themeColor="accent5"/>
          <w:insideH w:val="nil"/>
          <w:insideV w:val="nil"/>
        </w:tcBorders>
        <w:shd w:val="clear" w:color="auto" w:fill="F26A25" w:themeFill="accent5"/>
      </w:tcPr>
    </w:tblStylePr>
    <w:tblStylePr w:type="lastRow">
      <w:rPr>
        <w:b/>
        <w:bCs/>
      </w:rPr>
      <w:tblPr/>
      <w:tcPr>
        <w:tcBorders>
          <w:top w:val="double" w:sz="4" w:space="0" w:color="F26A25" w:themeColor="accent5"/>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4-Accent6">
    <w:name w:val="Grid Table 4 Accent 6"/>
    <w:basedOn w:val="TableNormal"/>
    <w:uiPriority w:val="49"/>
    <w:unhideWhenUsed/>
    <w:rsid w:val="00DE2100"/>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color w:val="FFFFFF" w:themeColor="background1"/>
      </w:rPr>
      <w:tblPr/>
      <w:tcPr>
        <w:tcBorders>
          <w:top w:val="single" w:sz="4" w:space="0" w:color="CD3E71" w:themeColor="accent6"/>
          <w:left w:val="single" w:sz="4" w:space="0" w:color="CD3E71" w:themeColor="accent6"/>
          <w:bottom w:val="single" w:sz="4" w:space="0" w:color="CD3E71" w:themeColor="accent6"/>
          <w:right w:val="single" w:sz="4" w:space="0" w:color="CD3E71" w:themeColor="accent6"/>
          <w:insideH w:val="nil"/>
          <w:insideV w:val="nil"/>
        </w:tcBorders>
        <w:shd w:val="clear" w:color="auto" w:fill="CD3E71" w:themeFill="accent6"/>
      </w:tcPr>
    </w:tblStylePr>
    <w:tblStylePr w:type="lastRow">
      <w:rPr>
        <w:b/>
        <w:bCs/>
      </w:rPr>
      <w:tblPr/>
      <w:tcPr>
        <w:tcBorders>
          <w:top w:val="double" w:sz="4" w:space="0" w:color="CD3E71" w:themeColor="accent6"/>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5Dark">
    <w:name w:val="Grid Table 5 Dark"/>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5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3D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3D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3D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3D6F" w:themeFill="accent1"/>
      </w:tcPr>
    </w:tblStylePr>
    <w:tblStylePr w:type="band1Vert">
      <w:tblPr/>
      <w:tcPr>
        <w:shd w:val="clear" w:color="auto" w:fill="87ABE1" w:themeFill="accent1" w:themeFillTint="66"/>
      </w:tcPr>
    </w:tblStylePr>
    <w:tblStylePr w:type="band1Horz">
      <w:tblPr/>
      <w:tcPr>
        <w:shd w:val="clear" w:color="auto" w:fill="87ABE1" w:themeFill="accent1" w:themeFillTint="66"/>
      </w:tcPr>
    </w:tblStylePr>
  </w:style>
  <w:style w:type="table" w:styleId="GridTable5Dark-Accent2">
    <w:name w:val="Grid Table 5 Dark Accent 2"/>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F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97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97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97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97AA" w:themeFill="accent2"/>
      </w:tcPr>
    </w:tblStylePr>
    <w:tblStylePr w:type="band1Vert">
      <w:tblPr/>
      <w:tcPr>
        <w:shd w:val="clear" w:color="auto" w:fill="98DFEA" w:themeFill="accent2" w:themeFillTint="66"/>
      </w:tcPr>
    </w:tblStylePr>
    <w:tblStylePr w:type="band1Horz">
      <w:tblPr/>
      <w:tcPr>
        <w:shd w:val="clear" w:color="auto" w:fill="98DFEA" w:themeFill="accent2" w:themeFillTint="66"/>
      </w:tcPr>
    </w:tblStylePr>
  </w:style>
  <w:style w:type="table" w:styleId="GridTable5Dark-Accent3">
    <w:name w:val="Grid Table 5 Dark Accent 3"/>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A9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A9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A9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A95" w:themeFill="accent3"/>
      </w:tcPr>
    </w:tblStylePr>
    <w:tblStylePr w:type="band1Vert">
      <w:tblPr/>
      <w:tcPr>
        <w:shd w:val="clear" w:color="auto" w:fill="ABE6D5" w:themeFill="accent3" w:themeFillTint="66"/>
      </w:tcPr>
    </w:tblStylePr>
    <w:tblStylePr w:type="band1Horz">
      <w:tblPr/>
      <w:tcPr>
        <w:shd w:val="clear" w:color="auto" w:fill="ABE6D5" w:themeFill="accent3" w:themeFillTint="66"/>
      </w:tcPr>
    </w:tblStylePr>
  </w:style>
  <w:style w:type="table" w:styleId="GridTable5Dark-Accent4">
    <w:name w:val="Grid Table 5 Dark Accent 4"/>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BD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BD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BD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BD48" w:themeFill="accent4"/>
      </w:tcPr>
    </w:tblStylePr>
    <w:tblStylePr w:type="band1Vert">
      <w:tblPr/>
      <w:tcPr>
        <w:shd w:val="clear" w:color="auto" w:fill="FAE4B5" w:themeFill="accent4" w:themeFillTint="66"/>
      </w:tcPr>
    </w:tblStylePr>
    <w:tblStylePr w:type="band1Horz">
      <w:tblPr/>
      <w:tcPr>
        <w:shd w:val="clear" w:color="auto" w:fill="FAE4B5" w:themeFill="accent4" w:themeFillTint="66"/>
      </w:tcPr>
    </w:tblStylePr>
  </w:style>
  <w:style w:type="table" w:styleId="GridTable5Dark-Accent5">
    <w:name w:val="Grid Table 5 Dark Accent 5"/>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A2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A2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A2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A25" w:themeFill="accent5"/>
      </w:tcPr>
    </w:tblStylePr>
    <w:tblStylePr w:type="band1Vert">
      <w:tblPr/>
      <w:tcPr>
        <w:shd w:val="clear" w:color="auto" w:fill="F9C2A7" w:themeFill="accent5" w:themeFillTint="66"/>
      </w:tcPr>
    </w:tblStylePr>
    <w:tblStylePr w:type="band1Horz">
      <w:tblPr/>
      <w:tcPr>
        <w:shd w:val="clear" w:color="auto" w:fill="F9C2A7" w:themeFill="accent5" w:themeFillTint="66"/>
      </w:tcPr>
    </w:tblStylePr>
  </w:style>
  <w:style w:type="table" w:styleId="GridTable5Dark-Accent6">
    <w:name w:val="Grid Table 5 Dark Accent 6"/>
    <w:basedOn w:val="TableNormal"/>
    <w:uiPriority w:val="50"/>
    <w:unhideWhenUsed/>
    <w:rsid w:val="00DE210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8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3E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3E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3E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3E71" w:themeFill="accent6"/>
      </w:tcPr>
    </w:tblStylePr>
    <w:tblStylePr w:type="band1Vert">
      <w:tblPr/>
      <w:tcPr>
        <w:shd w:val="clear" w:color="auto" w:fill="EBB1C5" w:themeFill="accent6" w:themeFillTint="66"/>
      </w:tcPr>
    </w:tblStylePr>
    <w:tblStylePr w:type="band1Horz">
      <w:tblPr/>
      <w:tcPr>
        <w:shd w:val="clear" w:color="auto" w:fill="EBB1C5" w:themeFill="accent6" w:themeFillTint="66"/>
      </w:tcPr>
    </w:tblStylePr>
  </w:style>
  <w:style w:type="table" w:styleId="GridTable6Colorful">
    <w:name w:val="Grid Table 6 Colorful"/>
    <w:basedOn w:val="TableNormal"/>
    <w:uiPriority w:val="51"/>
    <w:unhideWhenUsed/>
    <w:rsid w:val="00DE210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DE2100"/>
    <w:pPr>
      <w:spacing w:line="240" w:lineRule="auto"/>
    </w:pPr>
    <w:rPr>
      <w:color w:val="142D53" w:themeColor="accent1" w:themeShade="BF"/>
    </w:r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bottom w:val="single" w:sz="12" w:space="0" w:color="4B82D3" w:themeColor="accent1" w:themeTint="99"/>
        </w:tcBorders>
      </w:tcPr>
    </w:tblStylePr>
    <w:tblStylePr w:type="lastRow">
      <w:rPr>
        <w:b/>
        <w:bCs/>
      </w:rPr>
      <w:tblPr/>
      <w:tcPr>
        <w:tcBorders>
          <w:top w:val="doub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6Colorful-Accent2">
    <w:name w:val="Grid Table 6 Colorful Accent 2"/>
    <w:basedOn w:val="TableNormal"/>
    <w:uiPriority w:val="51"/>
    <w:unhideWhenUsed/>
    <w:rsid w:val="00DE2100"/>
    <w:pPr>
      <w:spacing w:line="240" w:lineRule="auto"/>
    </w:pPr>
    <w:rPr>
      <w:color w:val="19707F" w:themeColor="accent2" w:themeShade="BF"/>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bottom w:val="single" w:sz="12" w:space="0" w:color="65CFE0" w:themeColor="accent2" w:themeTint="99"/>
        </w:tcBorders>
      </w:tcPr>
    </w:tblStylePr>
    <w:tblStylePr w:type="lastRow">
      <w:rPr>
        <w:b/>
        <w:bCs/>
      </w:rPr>
      <w:tblPr/>
      <w:tcPr>
        <w:tcBorders>
          <w:top w:val="doub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6Colorful-Accent3">
    <w:name w:val="Grid Table 6 Colorful Accent 3"/>
    <w:basedOn w:val="TableNormal"/>
    <w:uiPriority w:val="51"/>
    <w:unhideWhenUsed/>
    <w:rsid w:val="00DE2100"/>
    <w:pPr>
      <w:spacing w:line="240" w:lineRule="auto"/>
    </w:pPr>
    <w:rPr>
      <w:color w:val="298B6F" w:themeColor="accent3" w:themeShade="BF"/>
    </w:r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bottom w:val="single" w:sz="12" w:space="0" w:color="82DAC0" w:themeColor="accent3" w:themeTint="99"/>
        </w:tcBorders>
      </w:tcPr>
    </w:tblStylePr>
    <w:tblStylePr w:type="lastRow">
      <w:rPr>
        <w:b/>
        <w:bCs/>
      </w:rPr>
      <w:tblPr/>
      <w:tcPr>
        <w:tcBorders>
          <w:top w:val="doub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6Colorful-Accent4">
    <w:name w:val="Grid Table 6 Colorful Accent 4"/>
    <w:basedOn w:val="TableNormal"/>
    <w:uiPriority w:val="51"/>
    <w:unhideWhenUsed/>
    <w:rsid w:val="00DE2100"/>
    <w:pPr>
      <w:spacing w:line="240" w:lineRule="auto"/>
    </w:pPr>
    <w:rPr>
      <w:color w:val="DD9B0E" w:themeColor="accent4" w:themeShade="BF"/>
    </w:r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bottom w:val="single" w:sz="12" w:space="0" w:color="F7D791" w:themeColor="accent4" w:themeTint="99"/>
        </w:tcBorders>
      </w:tcPr>
    </w:tblStylePr>
    <w:tblStylePr w:type="lastRow">
      <w:rPr>
        <w:b/>
        <w:bCs/>
      </w:rPr>
      <w:tblPr/>
      <w:tcPr>
        <w:tcBorders>
          <w:top w:val="doub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6Colorful-Accent5">
    <w:name w:val="Grid Table 6 Colorful Accent 5"/>
    <w:basedOn w:val="TableNormal"/>
    <w:uiPriority w:val="51"/>
    <w:unhideWhenUsed/>
    <w:rsid w:val="00DE2100"/>
    <w:pPr>
      <w:spacing w:line="240" w:lineRule="auto"/>
    </w:pPr>
    <w:rPr>
      <w:color w:val="C4490B" w:themeColor="accent5" w:themeShade="BF"/>
    </w:r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bottom w:val="single" w:sz="12" w:space="0" w:color="F7A57C" w:themeColor="accent5" w:themeTint="99"/>
        </w:tcBorders>
      </w:tcPr>
    </w:tblStylePr>
    <w:tblStylePr w:type="lastRow">
      <w:rPr>
        <w:b/>
        <w:bCs/>
      </w:rPr>
      <w:tblPr/>
      <w:tcPr>
        <w:tcBorders>
          <w:top w:val="doub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6Colorful-Accent6">
    <w:name w:val="Grid Table 6 Colorful Accent 6"/>
    <w:basedOn w:val="TableNormal"/>
    <w:uiPriority w:val="51"/>
    <w:unhideWhenUsed/>
    <w:rsid w:val="00DE2100"/>
    <w:pPr>
      <w:spacing w:line="240" w:lineRule="auto"/>
    </w:pPr>
    <w:rPr>
      <w:color w:val="9E2952" w:themeColor="accent6" w:themeShade="BF"/>
    </w:r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bottom w:val="single" w:sz="12" w:space="0" w:color="E18BA9" w:themeColor="accent6" w:themeTint="99"/>
        </w:tcBorders>
      </w:tcPr>
    </w:tblStylePr>
    <w:tblStylePr w:type="lastRow">
      <w:rPr>
        <w:b/>
        <w:bCs/>
      </w:rPr>
      <w:tblPr/>
      <w:tcPr>
        <w:tcBorders>
          <w:top w:val="doub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7Colorful">
    <w:name w:val="Grid Table 7 Colorful"/>
    <w:basedOn w:val="TableNormal"/>
    <w:uiPriority w:val="52"/>
    <w:unhideWhenUsed/>
    <w:rsid w:val="00DE210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DE2100"/>
    <w:pPr>
      <w:spacing w:line="240" w:lineRule="auto"/>
    </w:pPr>
    <w:rPr>
      <w:color w:val="142D53" w:themeColor="accent1" w:themeShade="BF"/>
    </w:r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bottom w:val="single" w:sz="4" w:space="0" w:color="4B82D3" w:themeColor="accent1" w:themeTint="99"/>
        </w:tcBorders>
      </w:tcPr>
    </w:tblStylePr>
    <w:tblStylePr w:type="nwCell">
      <w:tblPr/>
      <w:tcPr>
        <w:tcBorders>
          <w:bottom w:val="single" w:sz="4" w:space="0" w:color="4B82D3" w:themeColor="accent1" w:themeTint="99"/>
        </w:tcBorders>
      </w:tcPr>
    </w:tblStylePr>
    <w:tblStylePr w:type="seCell">
      <w:tblPr/>
      <w:tcPr>
        <w:tcBorders>
          <w:top w:val="single" w:sz="4" w:space="0" w:color="4B82D3" w:themeColor="accent1" w:themeTint="99"/>
        </w:tcBorders>
      </w:tcPr>
    </w:tblStylePr>
    <w:tblStylePr w:type="swCell">
      <w:tblPr/>
      <w:tcPr>
        <w:tcBorders>
          <w:top w:val="single" w:sz="4" w:space="0" w:color="4B82D3" w:themeColor="accent1" w:themeTint="99"/>
        </w:tcBorders>
      </w:tcPr>
    </w:tblStylePr>
  </w:style>
  <w:style w:type="table" w:styleId="GridTable7Colorful-Accent2">
    <w:name w:val="Grid Table 7 Colorful Accent 2"/>
    <w:basedOn w:val="TableNormal"/>
    <w:uiPriority w:val="52"/>
    <w:unhideWhenUsed/>
    <w:rsid w:val="00DE2100"/>
    <w:pPr>
      <w:spacing w:line="240" w:lineRule="auto"/>
    </w:pPr>
    <w:rPr>
      <w:color w:val="19707F" w:themeColor="accent2" w:themeShade="BF"/>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bottom w:val="single" w:sz="4" w:space="0" w:color="65CFE0" w:themeColor="accent2" w:themeTint="99"/>
        </w:tcBorders>
      </w:tcPr>
    </w:tblStylePr>
    <w:tblStylePr w:type="nwCell">
      <w:tblPr/>
      <w:tcPr>
        <w:tcBorders>
          <w:bottom w:val="single" w:sz="4" w:space="0" w:color="65CFE0" w:themeColor="accent2" w:themeTint="99"/>
        </w:tcBorders>
      </w:tcPr>
    </w:tblStylePr>
    <w:tblStylePr w:type="seCell">
      <w:tblPr/>
      <w:tcPr>
        <w:tcBorders>
          <w:top w:val="single" w:sz="4" w:space="0" w:color="65CFE0" w:themeColor="accent2" w:themeTint="99"/>
        </w:tcBorders>
      </w:tcPr>
    </w:tblStylePr>
    <w:tblStylePr w:type="swCell">
      <w:tblPr/>
      <w:tcPr>
        <w:tcBorders>
          <w:top w:val="single" w:sz="4" w:space="0" w:color="65CFE0" w:themeColor="accent2" w:themeTint="99"/>
        </w:tcBorders>
      </w:tcPr>
    </w:tblStylePr>
  </w:style>
  <w:style w:type="table" w:styleId="GridTable7Colorful-Accent3">
    <w:name w:val="Grid Table 7 Colorful Accent 3"/>
    <w:basedOn w:val="TableNormal"/>
    <w:uiPriority w:val="52"/>
    <w:unhideWhenUsed/>
    <w:rsid w:val="00DE2100"/>
    <w:pPr>
      <w:spacing w:line="240" w:lineRule="auto"/>
    </w:pPr>
    <w:rPr>
      <w:color w:val="298B6F" w:themeColor="accent3" w:themeShade="BF"/>
    </w:r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bottom w:val="single" w:sz="4" w:space="0" w:color="82DAC0" w:themeColor="accent3" w:themeTint="99"/>
        </w:tcBorders>
      </w:tcPr>
    </w:tblStylePr>
    <w:tblStylePr w:type="nwCell">
      <w:tblPr/>
      <w:tcPr>
        <w:tcBorders>
          <w:bottom w:val="single" w:sz="4" w:space="0" w:color="82DAC0" w:themeColor="accent3" w:themeTint="99"/>
        </w:tcBorders>
      </w:tcPr>
    </w:tblStylePr>
    <w:tblStylePr w:type="seCell">
      <w:tblPr/>
      <w:tcPr>
        <w:tcBorders>
          <w:top w:val="single" w:sz="4" w:space="0" w:color="82DAC0" w:themeColor="accent3" w:themeTint="99"/>
        </w:tcBorders>
      </w:tcPr>
    </w:tblStylePr>
    <w:tblStylePr w:type="swCell">
      <w:tblPr/>
      <w:tcPr>
        <w:tcBorders>
          <w:top w:val="single" w:sz="4" w:space="0" w:color="82DAC0" w:themeColor="accent3" w:themeTint="99"/>
        </w:tcBorders>
      </w:tcPr>
    </w:tblStylePr>
  </w:style>
  <w:style w:type="table" w:styleId="GridTable7Colorful-Accent4">
    <w:name w:val="Grid Table 7 Colorful Accent 4"/>
    <w:basedOn w:val="TableNormal"/>
    <w:uiPriority w:val="52"/>
    <w:unhideWhenUsed/>
    <w:rsid w:val="00DE2100"/>
    <w:pPr>
      <w:spacing w:line="240" w:lineRule="auto"/>
    </w:pPr>
    <w:rPr>
      <w:color w:val="DD9B0E" w:themeColor="accent4" w:themeShade="BF"/>
    </w:r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bottom w:val="single" w:sz="4" w:space="0" w:color="F7D791" w:themeColor="accent4" w:themeTint="99"/>
        </w:tcBorders>
      </w:tcPr>
    </w:tblStylePr>
    <w:tblStylePr w:type="nwCell">
      <w:tblPr/>
      <w:tcPr>
        <w:tcBorders>
          <w:bottom w:val="single" w:sz="4" w:space="0" w:color="F7D791" w:themeColor="accent4" w:themeTint="99"/>
        </w:tcBorders>
      </w:tcPr>
    </w:tblStylePr>
    <w:tblStylePr w:type="seCell">
      <w:tblPr/>
      <w:tcPr>
        <w:tcBorders>
          <w:top w:val="single" w:sz="4" w:space="0" w:color="F7D791" w:themeColor="accent4" w:themeTint="99"/>
        </w:tcBorders>
      </w:tcPr>
    </w:tblStylePr>
    <w:tblStylePr w:type="swCell">
      <w:tblPr/>
      <w:tcPr>
        <w:tcBorders>
          <w:top w:val="single" w:sz="4" w:space="0" w:color="F7D791" w:themeColor="accent4" w:themeTint="99"/>
        </w:tcBorders>
      </w:tcPr>
    </w:tblStylePr>
  </w:style>
  <w:style w:type="table" w:styleId="GridTable7Colorful-Accent5">
    <w:name w:val="Grid Table 7 Colorful Accent 5"/>
    <w:basedOn w:val="TableNormal"/>
    <w:uiPriority w:val="52"/>
    <w:unhideWhenUsed/>
    <w:rsid w:val="00DE2100"/>
    <w:pPr>
      <w:spacing w:line="240" w:lineRule="auto"/>
    </w:pPr>
    <w:rPr>
      <w:color w:val="C4490B" w:themeColor="accent5" w:themeShade="BF"/>
    </w:r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bottom w:val="single" w:sz="4" w:space="0" w:color="F7A57C" w:themeColor="accent5" w:themeTint="99"/>
        </w:tcBorders>
      </w:tcPr>
    </w:tblStylePr>
    <w:tblStylePr w:type="nwCell">
      <w:tblPr/>
      <w:tcPr>
        <w:tcBorders>
          <w:bottom w:val="single" w:sz="4" w:space="0" w:color="F7A57C" w:themeColor="accent5" w:themeTint="99"/>
        </w:tcBorders>
      </w:tcPr>
    </w:tblStylePr>
    <w:tblStylePr w:type="seCell">
      <w:tblPr/>
      <w:tcPr>
        <w:tcBorders>
          <w:top w:val="single" w:sz="4" w:space="0" w:color="F7A57C" w:themeColor="accent5" w:themeTint="99"/>
        </w:tcBorders>
      </w:tcPr>
    </w:tblStylePr>
    <w:tblStylePr w:type="swCell">
      <w:tblPr/>
      <w:tcPr>
        <w:tcBorders>
          <w:top w:val="single" w:sz="4" w:space="0" w:color="F7A57C" w:themeColor="accent5" w:themeTint="99"/>
        </w:tcBorders>
      </w:tcPr>
    </w:tblStylePr>
  </w:style>
  <w:style w:type="table" w:styleId="GridTable7Colorful-Accent6">
    <w:name w:val="Grid Table 7 Colorful Accent 6"/>
    <w:basedOn w:val="TableNormal"/>
    <w:uiPriority w:val="52"/>
    <w:unhideWhenUsed/>
    <w:rsid w:val="00DE2100"/>
    <w:pPr>
      <w:spacing w:line="240" w:lineRule="auto"/>
    </w:pPr>
    <w:rPr>
      <w:color w:val="9E2952" w:themeColor="accent6" w:themeShade="BF"/>
    </w:r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bottom w:val="single" w:sz="4" w:space="0" w:color="E18BA9" w:themeColor="accent6" w:themeTint="99"/>
        </w:tcBorders>
      </w:tcPr>
    </w:tblStylePr>
    <w:tblStylePr w:type="nwCell">
      <w:tblPr/>
      <w:tcPr>
        <w:tcBorders>
          <w:bottom w:val="single" w:sz="4" w:space="0" w:color="E18BA9" w:themeColor="accent6" w:themeTint="99"/>
        </w:tcBorders>
      </w:tcPr>
    </w:tblStylePr>
    <w:tblStylePr w:type="seCell">
      <w:tblPr/>
      <w:tcPr>
        <w:tcBorders>
          <w:top w:val="single" w:sz="4" w:space="0" w:color="E18BA9" w:themeColor="accent6" w:themeTint="99"/>
        </w:tcBorders>
      </w:tcPr>
    </w:tblStylePr>
    <w:tblStylePr w:type="swCell">
      <w:tblPr/>
      <w:tcPr>
        <w:tcBorders>
          <w:top w:val="single" w:sz="4" w:space="0" w:color="E18BA9" w:themeColor="accent6" w:themeTint="99"/>
        </w:tcBorders>
      </w:tcPr>
    </w:tblStylePr>
  </w:style>
  <w:style w:type="character" w:styleId="HTMLAcronym">
    <w:name w:val="HTML Acronym"/>
    <w:basedOn w:val="DefaultParagraphFont"/>
    <w:uiPriority w:val="99"/>
    <w:semiHidden/>
    <w:unhideWhenUsed/>
    <w:rsid w:val="00DE2100"/>
  </w:style>
  <w:style w:type="paragraph" w:styleId="HTMLAddress">
    <w:name w:val="HTML Address"/>
    <w:basedOn w:val="Normal"/>
    <w:link w:val="HTMLAddressChar"/>
    <w:uiPriority w:val="99"/>
    <w:semiHidden/>
    <w:unhideWhenUsed/>
    <w:rsid w:val="00DE2100"/>
    <w:pPr>
      <w:spacing w:line="240" w:lineRule="auto"/>
    </w:pPr>
    <w:rPr>
      <w:i/>
      <w:iCs/>
    </w:rPr>
  </w:style>
  <w:style w:type="character" w:customStyle="1" w:styleId="HTMLAddressChar">
    <w:name w:val="HTML Address Char"/>
    <w:basedOn w:val="DefaultParagraphFont"/>
    <w:link w:val="HTMLAddress"/>
    <w:uiPriority w:val="99"/>
    <w:semiHidden/>
    <w:rsid w:val="00DE2100"/>
    <w:rPr>
      <w:i/>
      <w:iCs/>
      <w:sz w:val="24"/>
    </w:rPr>
  </w:style>
  <w:style w:type="character" w:styleId="HTMLCite">
    <w:name w:val="HTML Cite"/>
    <w:basedOn w:val="DefaultParagraphFont"/>
    <w:uiPriority w:val="99"/>
    <w:semiHidden/>
    <w:unhideWhenUsed/>
    <w:rsid w:val="00DE2100"/>
    <w:rPr>
      <w:i/>
      <w:iCs/>
    </w:rPr>
  </w:style>
  <w:style w:type="character" w:styleId="HTMLCode">
    <w:name w:val="HTML Code"/>
    <w:basedOn w:val="DefaultParagraphFont"/>
    <w:uiPriority w:val="99"/>
    <w:semiHidden/>
    <w:unhideWhenUsed/>
    <w:rsid w:val="00DE2100"/>
    <w:rPr>
      <w:rFonts w:ascii="Consolas" w:hAnsi="Consolas"/>
      <w:sz w:val="20"/>
      <w:szCs w:val="20"/>
    </w:rPr>
  </w:style>
  <w:style w:type="character" w:styleId="HTMLDefinition">
    <w:name w:val="HTML Definition"/>
    <w:basedOn w:val="DefaultParagraphFont"/>
    <w:uiPriority w:val="99"/>
    <w:semiHidden/>
    <w:unhideWhenUsed/>
    <w:rsid w:val="00DE2100"/>
    <w:rPr>
      <w:i/>
      <w:iCs/>
    </w:rPr>
  </w:style>
  <w:style w:type="character" w:styleId="HTMLKeyboard">
    <w:name w:val="HTML Keyboard"/>
    <w:basedOn w:val="DefaultParagraphFont"/>
    <w:uiPriority w:val="99"/>
    <w:semiHidden/>
    <w:unhideWhenUsed/>
    <w:rsid w:val="00DE2100"/>
    <w:rPr>
      <w:rFonts w:ascii="Consolas" w:hAnsi="Consolas"/>
      <w:sz w:val="20"/>
      <w:szCs w:val="20"/>
    </w:rPr>
  </w:style>
  <w:style w:type="paragraph" w:styleId="HTMLPreformatted">
    <w:name w:val="HTML Preformatted"/>
    <w:basedOn w:val="Normal"/>
    <w:link w:val="HTMLPreformattedChar"/>
    <w:uiPriority w:val="99"/>
    <w:semiHidden/>
    <w:unhideWhenUsed/>
    <w:rsid w:val="00DE210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2100"/>
    <w:rPr>
      <w:rFonts w:ascii="Consolas" w:hAnsi="Consolas"/>
      <w:sz w:val="20"/>
      <w:szCs w:val="20"/>
    </w:rPr>
  </w:style>
  <w:style w:type="character" w:styleId="HTMLSample">
    <w:name w:val="HTML Sample"/>
    <w:basedOn w:val="DefaultParagraphFont"/>
    <w:uiPriority w:val="99"/>
    <w:semiHidden/>
    <w:unhideWhenUsed/>
    <w:rsid w:val="00DE2100"/>
    <w:rPr>
      <w:rFonts w:ascii="Consolas" w:hAnsi="Consolas"/>
      <w:sz w:val="24"/>
      <w:szCs w:val="24"/>
    </w:rPr>
  </w:style>
  <w:style w:type="character" w:styleId="HTMLTypewriter">
    <w:name w:val="HTML Typewriter"/>
    <w:basedOn w:val="DefaultParagraphFont"/>
    <w:uiPriority w:val="99"/>
    <w:semiHidden/>
    <w:unhideWhenUsed/>
    <w:rsid w:val="00DE2100"/>
    <w:rPr>
      <w:rFonts w:ascii="Consolas" w:hAnsi="Consolas"/>
      <w:sz w:val="20"/>
      <w:szCs w:val="20"/>
    </w:rPr>
  </w:style>
  <w:style w:type="character" w:styleId="HTMLVariable">
    <w:name w:val="HTML Variable"/>
    <w:basedOn w:val="DefaultParagraphFont"/>
    <w:uiPriority w:val="99"/>
    <w:semiHidden/>
    <w:unhideWhenUsed/>
    <w:rsid w:val="00DE2100"/>
    <w:rPr>
      <w:i/>
      <w:iCs/>
    </w:rPr>
  </w:style>
  <w:style w:type="paragraph" w:styleId="Index2">
    <w:name w:val="index 2"/>
    <w:basedOn w:val="Normal"/>
    <w:next w:val="Normal"/>
    <w:autoRedefine/>
    <w:uiPriority w:val="99"/>
    <w:semiHidden/>
    <w:unhideWhenUsed/>
    <w:rsid w:val="00DE2100"/>
    <w:pPr>
      <w:spacing w:line="240" w:lineRule="auto"/>
      <w:ind w:left="440" w:hanging="220"/>
    </w:pPr>
  </w:style>
  <w:style w:type="paragraph" w:styleId="Index3">
    <w:name w:val="index 3"/>
    <w:basedOn w:val="Normal"/>
    <w:next w:val="Normal"/>
    <w:autoRedefine/>
    <w:uiPriority w:val="99"/>
    <w:semiHidden/>
    <w:unhideWhenUsed/>
    <w:rsid w:val="00DE2100"/>
    <w:pPr>
      <w:spacing w:line="240" w:lineRule="auto"/>
      <w:ind w:left="660" w:hanging="220"/>
    </w:pPr>
  </w:style>
  <w:style w:type="paragraph" w:styleId="Index4">
    <w:name w:val="index 4"/>
    <w:basedOn w:val="Normal"/>
    <w:next w:val="Normal"/>
    <w:autoRedefine/>
    <w:uiPriority w:val="99"/>
    <w:semiHidden/>
    <w:unhideWhenUsed/>
    <w:rsid w:val="00DE2100"/>
    <w:pPr>
      <w:spacing w:line="240" w:lineRule="auto"/>
      <w:ind w:left="880" w:hanging="220"/>
    </w:pPr>
  </w:style>
  <w:style w:type="paragraph" w:styleId="Index5">
    <w:name w:val="index 5"/>
    <w:basedOn w:val="Normal"/>
    <w:next w:val="Normal"/>
    <w:autoRedefine/>
    <w:uiPriority w:val="99"/>
    <w:semiHidden/>
    <w:unhideWhenUsed/>
    <w:rsid w:val="00DE2100"/>
    <w:pPr>
      <w:spacing w:line="240" w:lineRule="auto"/>
      <w:ind w:left="1100" w:hanging="220"/>
    </w:pPr>
  </w:style>
  <w:style w:type="paragraph" w:styleId="Index6">
    <w:name w:val="index 6"/>
    <w:basedOn w:val="Normal"/>
    <w:next w:val="Normal"/>
    <w:autoRedefine/>
    <w:uiPriority w:val="99"/>
    <w:semiHidden/>
    <w:unhideWhenUsed/>
    <w:rsid w:val="00DE2100"/>
    <w:pPr>
      <w:spacing w:line="240" w:lineRule="auto"/>
      <w:ind w:left="1320" w:hanging="220"/>
    </w:pPr>
  </w:style>
  <w:style w:type="paragraph" w:styleId="Index8">
    <w:name w:val="index 8"/>
    <w:basedOn w:val="Normal"/>
    <w:next w:val="Normal"/>
    <w:autoRedefine/>
    <w:uiPriority w:val="99"/>
    <w:semiHidden/>
    <w:unhideWhenUsed/>
    <w:rsid w:val="00DE2100"/>
    <w:pPr>
      <w:spacing w:line="240" w:lineRule="auto"/>
      <w:ind w:left="1760" w:hanging="220"/>
    </w:pPr>
  </w:style>
  <w:style w:type="paragraph" w:styleId="IntenseQuote">
    <w:name w:val="Intense Quote"/>
    <w:basedOn w:val="Normal"/>
    <w:next w:val="Normal"/>
    <w:link w:val="IntenseQuoteChar"/>
    <w:uiPriority w:val="13"/>
    <w:unhideWhenUsed/>
    <w:qFormat/>
    <w:rsid w:val="00DE2100"/>
    <w:pPr>
      <w:pBdr>
        <w:top w:val="single" w:sz="4" w:space="10" w:color="D8DBDE" w:themeColor="background2" w:themeTint="33"/>
        <w:bottom w:val="single" w:sz="4" w:space="10" w:color="D8DBDE" w:themeColor="background2" w:themeTint="33"/>
      </w:pBdr>
      <w:spacing w:before="360" w:after="360"/>
      <w:ind w:left="720" w:right="720"/>
    </w:pPr>
    <w:rPr>
      <w:rFonts w:ascii="Calibri" w:hAnsi="Calibri" w:cs="Times New Roman"/>
      <w:i/>
      <w:iCs/>
      <w:color w:val="404040" w:themeColor="text1" w:themeTint="BF"/>
      <w:szCs w:val="23"/>
      <w:lang w:eastAsia="en-US"/>
    </w:rPr>
  </w:style>
  <w:style w:type="character" w:customStyle="1" w:styleId="IntenseQuoteChar">
    <w:name w:val="Intense Quote Char"/>
    <w:basedOn w:val="DefaultParagraphFont"/>
    <w:link w:val="IntenseQuote"/>
    <w:uiPriority w:val="13"/>
    <w:rsid w:val="00DE2100"/>
    <w:rPr>
      <w:rFonts w:ascii="Calibri" w:hAnsi="Calibri" w:cs="Times New Roman"/>
      <w:i/>
      <w:iCs/>
      <w:color w:val="404040" w:themeColor="text1" w:themeTint="BF"/>
      <w:sz w:val="24"/>
      <w:szCs w:val="23"/>
      <w:lang w:eastAsia="en-US"/>
    </w:rPr>
  </w:style>
  <w:style w:type="table" w:styleId="LightGrid">
    <w:name w:val="Light Grid"/>
    <w:basedOn w:val="TableNormal"/>
    <w:uiPriority w:val="62"/>
    <w:semiHidden/>
    <w:unhideWhenUsed/>
    <w:rsid w:val="00DE210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2100"/>
    <w:pPr>
      <w:spacing w:line="240" w:lineRule="auto"/>
    </w:p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insideH w:val="single" w:sz="8" w:space="0" w:color="1B3D6F" w:themeColor="accent1"/>
        <w:insideV w:val="single" w:sz="8" w:space="0" w:color="1B3D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3D6F" w:themeColor="accent1"/>
          <w:left w:val="single" w:sz="8" w:space="0" w:color="1B3D6F" w:themeColor="accent1"/>
          <w:bottom w:val="single" w:sz="18" w:space="0" w:color="1B3D6F" w:themeColor="accent1"/>
          <w:right w:val="single" w:sz="8" w:space="0" w:color="1B3D6F" w:themeColor="accent1"/>
          <w:insideH w:val="nil"/>
          <w:insideV w:val="single" w:sz="8" w:space="0" w:color="1B3D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3D6F" w:themeColor="accent1"/>
          <w:left w:val="single" w:sz="8" w:space="0" w:color="1B3D6F" w:themeColor="accent1"/>
          <w:bottom w:val="single" w:sz="8" w:space="0" w:color="1B3D6F" w:themeColor="accent1"/>
          <w:right w:val="single" w:sz="8" w:space="0" w:color="1B3D6F" w:themeColor="accent1"/>
          <w:insideH w:val="nil"/>
          <w:insideV w:val="single" w:sz="8" w:space="0" w:color="1B3D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tblStylePr w:type="band1Vert">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shd w:val="clear" w:color="auto" w:fill="B5CBED" w:themeFill="accent1" w:themeFillTint="3F"/>
      </w:tcPr>
    </w:tblStylePr>
    <w:tblStylePr w:type="band1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insideV w:val="single" w:sz="8" w:space="0" w:color="1B3D6F" w:themeColor="accent1"/>
        </w:tcBorders>
        <w:shd w:val="clear" w:color="auto" w:fill="B5CBED" w:themeFill="accent1" w:themeFillTint="3F"/>
      </w:tcPr>
    </w:tblStylePr>
    <w:tblStylePr w:type="band2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insideV w:val="single" w:sz="8" w:space="0" w:color="1B3D6F" w:themeColor="accent1"/>
        </w:tcBorders>
      </w:tcPr>
    </w:tblStylePr>
  </w:style>
  <w:style w:type="table" w:styleId="LightGrid-Accent2">
    <w:name w:val="Light Grid Accent 2"/>
    <w:basedOn w:val="TableNormal"/>
    <w:uiPriority w:val="62"/>
    <w:semiHidden/>
    <w:unhideWhenUsed/>
    <w:rsid w:val="00DE2100"/>
    <w:pPr>
      <w:spacing w:line="240" w:lineRule="auto"/>
    </w:p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insideH w:val="single" w:sz="8" w:space="0" w:color="2297AA" w:themeColor="accent2"/>
        <w:insideV w:val="single" w:sz="8" w:space="0" w:color="2297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97AA" w:themeColor="accent2"/>
          <w:left w:val="single" w:sz="8" w:space="0" w:color="2297AA" w:themeColor="accent2"/>
          <w:bottom w:val="single" w:sz="18" w:space="0" w:color="2297AA" w:themeColor="accent2"/>
          <w:right w:val="single" w:sz="8" w:space="0" w:color="2297AA" w:themeColor="accent2"/>
          <w:insideH w:val="nil"/>
          <w:insideV w:val="single" w:sz="8" w:space="0" w:color="2297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97AA" w:themeColor="accent2"/>
          <w:left w:val="single" w:sz="8" w:space="0" w:color="2297AA" w:themeColor="accent2"/>
          <w:bottom w:val="single" w:sz="8" w:space="0" w:color="2297AA" w:themeColor="accent2"/>
          <w:right w:val="single" w:sz="8" w:space="0" w:color="2297AA" w:themeColor="accent2"/>
          <w:insideH w:val="nil"/>
          <w:insideV w:val="single" w:sz="8" w:space="0" w:color="2297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tblStylePr w:type="band1Vert">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shd w:val="clear" w:color="auto" w:fill="BFEBF2" w:themeFill="accent2" w:themeFillTint="3F"/>
      </w:tcPr>
    </w:tblStylePr>
    <w:tblStylePr w:type="band1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insideV w:val="single" w:sz="8" w:space="0" w:color="2297AA" w:themeColor="accent2"/>
        </w:tcBorders>
        <w:shd w:val="clear" w:color="auto" w:fill="BFEBF2" w:themeFill="accent2" w:themeFillTint="3F"/>
      </w:tcPr>
    </w:tblStylePr>
    <w:tblStylePr w:type="band2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insideV w:val="single" w:sz="8" w:space="0" w:color="2297AA" w:themeColor="accent2"/>
        </w:tcBorders>
      </w:tcPr>
    </w:tblStylePr>
  </w:style>
  <w:style w:type="table" w:styleId="LightGrid-Accent3">
    <w:name w:val="Light Grid Accent 3"/>
    <w:basedOn w:val="TableNormal"/>
    <w:uiPriority w:val="62"/>
    <w:semiHidden/>
    <w:unhideWhenUsed/>
    <w:rsid w:val="00DE2100"/>
    <w:pPr>
      <w:spacing w:line="240" w:lineRule="auto"/>
    </w:p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insideH w:val="single" w:sz="8" w:space="0" w:color="37BA95" w:themeColor="accent3"/>
        <w:insideV w:val="single" w:sz="8" w:space="0" w:color="37BA9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A95" w:themeColor="accent3"/>
          <w:left w:val="single" w:sz="8" w:space="0" w:color="37BA95" w:themeColor="accent3"/>
          <w:bottom w:val="single" w:sz="18" w:space="0" w:color="37BA95" w:themeColor="accent3"/>
          <w:right w:val="single" w:sz="8" w:space="0" w:color="37BA95" w:themeColor="accent3"/>
          <w:insideH w:val="nil"/>
          <w:insideV w:val="single" w:sz="8" w:space="0" w:color="37BA9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A95" w:themeColor="accent3"/>
          <w:left w:val="single" w:sz="8" w:space="0" w:color="37BA95" w:themeColor="accent3"/>
          <w:bottom w:val="single" w:sz="8" w:space="0" w:color="37BA95" w:themeColor="accent3"/>
          <w:right w:val="single" w:sz="8" w:space="0" w:color="37BA95" w:themeColor="accent3"/>
          <w:insideH w:val="nil"/>
          <w:insideV w:val="single" w:sz="8" w:space="0" w:color="37BA9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tblStylePr w:type="band1Vert">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shd w:val="clear" w:color="auto" w:fill="CBEFE5" w:themeFill="accent3" w:themeFillTint="3F"/>
      </w:tcPr>
    </w:tblStylePr>
    <w:tblStylePr w:type="band1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insideV w:val="single" w:sz="8" w:space="0" w:color="37BA95" w:themeColor="accent3"/>
        </w:tcBorders>
        <w:shd w:val="clear" w:color="auto" w:fill="CBEFE5" w:themeFill="accent3" w:themeFillTint="3F"/>
      </w:tcPr>
    </w:tblStylePr>
    <w:tblStylePr w:type="band2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insideV w:val="single" w:sz="8" w:space="0" w:color="37BA95" w:themeColor="accent3"/>
        </w:tcBorders>
      </w:tcPr>
    </w:tblStylePr>
  </w:style>
  <w:style w:type="table" w:styleId="LightGrid-Accent4">
    <w:name w:val="Light Grid Accent 4"/>
    <w:basedOn w:val="TableNormal"/>
    <w:uiPriority w:val="62"/>
    <w:semiHidden/>
    <w:unhideWhenUsed/>
    <w:rsid w:val="00DE2100"/>
    <w:pPr>
      <w:spacing w:line="240" w:lineRule="auto"/>
    </w:p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insideH w:val="single" w:sz="8" w:space="0" w:color="F3BD48" w:themeColor="accent4"/>
        <w:insideV w:val="single" w:sz="8" w:space="0" w:color="F3BD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BD48" w:themeColor="accent4"/>
          <w:left w:val="single" w:sz="8" w:space="0" w:color="F3BD48" w:themeColor="accent4"/>
          <w:bottom w:val="single" w:sz="18" w:space="0" w:color="F3BD48" w:themeColor="accent4"/>
          <w:right w:val="single" w:sz="8" w:space="0" w:color="F3BD48" w:themeColor="accent4"/>
          <w:insideH w:val="nil"/>
          <w:insideV w:val="single" w:sz="8" w:space="0" w:color="F3BD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BD48" w:themeColor="accent4"/>
          <w:left w:val="single" w:sz="8" w:space="0" w:color="F3BD48" w:themeColor="accent4"/>
          <w:bottom w:val="single" w:sz="8" w:space="0" w:color="F3BD48" w:themeColor="accent4"/>
          <w:right w:val="single" w:sz="8" w:space="0" w:color="F3BD48" w:themeColor="accent4"/>
          <w:insideH w:val="nil"/>
          <w:insideV w:val="single" w:sz="8" w:space="0" w:color="F3BD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tblStylePr w:type="band1Vert">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shd w:val="clear" w:color="auto" w:fill="FCEED1" w:themeFill="accent4" w:themeFillTint="3F"/>
      </w:tcPr>
    </w:tblStylePr>
    <w:tblStylePr w:type="band1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insideV w:val="single" w:sz="8" w:space="0" w:color="F3BD48" w:themeColor="accent4"/>
        </w:tcBorders>
        <w:shd w:val="clear" w:color="auto" w:fill="FCEED1" w:themeFill="accent4" w:themeFillTint="3F"/>
      </w:tcPr>
    </w:tblStylePr>
    <w:tblStylePr w:type="band2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insideV w:val="single" w:sz="8" w:space="0" w:color="F3BD48" w:themeColor="accent4"/>
        </w:tcBorders>
      </w:tcPr>
    </w:tblStylePr>
  </w:style>
  <w:style w:type="table" w:styleId="LightGrid-Accent5">
    <w:name w:val="Light Grid Accent 5"/>
    <w:basedOn w:val="TableNormal"/>
    <w:uiPriority w:val="62"/>
    <w:semiHidden/>
    <w:unhideWhenUsed/>
    <w:rsid w:val="00DE2100"/>
    <w:pPr>
      <w:spacing w:line="240" w:lineRule="auto"/>
    </w:p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insideH w:val="single" w:sz="8" w:space="0" w:color="F26A25" w:themeColor="accent5"/>
        <w:insideV w:val="single" w:sz="8" w:space="0" w:color="F26A2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A25" w:themeColor="accent5"/>
          <w:left w:val="single" w:sz="8" w:space="0" w:color="F26A25" w:themeColor="accent5"/>
          <w:bottom w:val="single" w:sz="18" w:space="0" w:color="F26A25" w:themeColor="accent5"/>
          <w:right w:val="single" w:sz="8" w:space="0" w:color="F26A25" w:themeColor="accent5"/>
          <w:insideH w:val="nil"/>
          <w:insideV w:val="single" w:sz="8" w:space="0" w:color="F26A2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A25" w:themeColor="accent5"/>
          <w:left w:val="single" w:sz="8" w:space="0" w:color="F26A25" w:themeColor="accent5"/>
          <w:bottom w:val="single" w:sz="8" w:space="0" w:color="F26A25" w:themeColor="accent5"/>
          <w:right w:val="single" w:sz="8" w:space="0" w:color="F26A25" w:themeColor="accent5"/>
          <w:insideH w:val="nil"/>
          <w:insideV w:val="single" w:sz="8" w:space="0" w:color="F26A2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tblStylePr w:type="band1Vert">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shd w:val="clear" w:color="auto" w:fill="FBD9C8" w:themeFill="accent5" w:themeFillTint="3F"/>
      </w:tcPr>
    </w:tblStylePr>
    <w:tblStylePr w:type="band1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insideV w:val="single" w:sz="8" w:space="0" w:color="F26A25" w:themeColor="accent5"/>
        </w:tcBorders>
        <w:shd w:val="clear" w:color="auto" w:fill="FBD9C8" w:themeFill="accent5" w:themeFillTint="3F"/>
      </w:tcPr>
    </w:tblStylePr>
    <w:tblStylePr w:type="band2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insideV w:val="single" w:sz="8" w:space="0" w:color="F26A25" w:themeColor="accent5"/>
        </w:tcBorders>
      </w:tcPr>
    </w:tblStylePr>
  </w:style>
  <w:style w:type="table" w:styleId="LightGrid-Accent6">
    <w:name w:val="Light Grid Accent 6"/>
    <w:basedOn w:val="TableNormal"/>
    <w:uiPriority w:val="62"/>
    <w:semiHidden/>
    <w:unhideWhenUsed/>
    <w:rsid w:val="00DE2100"/>
    <w:pPr>
      <w:spacing w:line="240" w:lineRule="auto"/>
    </w:p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insideH w:val="single" w:sz="8" w:space="0" w:color="CD3E71" w:themeColor="accent6"/>
        <w:insideV w:val="single" w:sz="8" w:space="0" w:color="CD3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3E71" w:themeColor="accent6"/>
          <w:left w:val="single" w:sz="8" w:space="0" w:color="CD3E71" w:themeColor="accent6"/>
          <w:bottom w:val="single" w:sz="18" w:space="0" w:color="CD3E71" w:themeColor="accent6"/>
          <w:right w:val="single" w:sz="8" w:space="0" w:color="CD3E71" w:themeColor="accent6"/>
          <w:insideH w:val="nil"/>
          <w:insideV w:val="single" w:sz="8" w:space="0" w:color="CD3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3E71" w:themeColor="accent6"/>
          <w:left w:val="single" w:sz="8" w:space="0" w:color="CD3E71" w:themeColor="accent6"/>
          <w:bottom w:val="single" w:sz="8" w:space="0" w:color="CD3E71" w:themeColor="accent6"/>
          <w:right w:val="single" w:sz="8" w:space="0" w:color="CD3E71" w:themeColor="accent6"/>
          <w:insideH w:val="nil"/>
          <w:insideV w:val="single" w:sz="8" w:space="0" w:color="CD3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tblStylePr w:type="band1Vert">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shd w:val="clear" w:color="auto" w:fill="F2CFDB" w:themeFill="accent6" w:themeFillTint="3F"/>
      </w:tcPr>
    </w:tblStylePr>
    <w:tblStylePr w:type="band1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insideV w:val="single" w:sz="8" w:space="0" w:color="CD3E71" w:themeColor="accent6"/>
        </w:tcBorders>
        <w:shd w:val="clear" w:color="auto" w:fill="F2CFDB" w:themeFill="accent6" w:themeFillTint="3F"/>
      </w:tcPr>
    </w:tblStylePr>
    <w:tblStylePr w:type="band2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insideV w:val="single" w:sz="8" w:space="0" w:color="CD3E71" w:themeColor="accent6"/>
        </w:tcBorders>
      </w:tcPr>
    </w:tblStylePr>
  </w:style>
  <w:style w:type="table" w:styleId="LightList">
    <w:name w:val="Light List"/>
    <w:basedOn w:val="TableNormal"/>
    <w:uiPriority w:val="61"/>
    <w:semiHidden/>
    <w:unhideWhenUsed/>
    <w:rsid w:val="00DE210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2100"/>
    <w:pPr>
      <w:spacing w:line="240" w:lineRule="auto"/>
    </w:p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tblBorders>
    </w:tblPr>
    <w:tblStylePr w:type="firstRow">
      <w:pPr>
        <w:spacing w:before="0" w:after="0" w:line="240" w:lineRule="auto"/>
      </w:pPr>
      <w:rPr>
        <w:b/>
        <w:bCs/>
        <w:color w:val="FFFFFF" w:themeColor="background1"/>
      </w:rPr>
      <w:tblPr/>
      <w:tcPr>
        <w:shd w:val="clear" w:color="auto" w:fill="1B3D6F" w:themeFill="accent1"/>
      </w:tcPr>
    </w:tblStylePr>
    <w:tblStylePr w:type="lastRow">
      <w:pPr>
        <w:spacing w:before="0" w:after="0" w:line="240" w:lineRule="auto"/>
      </w:pPr>
      <w:rPr>
        <w:b/>
        <w:bCs/>
      </w:rPr>
      <w:tblPr/>
      <w:tcPr>
        <w:tcBorders>
          <w:top w:val="double" w:sz="6" w:space="0" w:color="1B3D6F" w:themeColor="accent1"/>
          <w:left w:val="single" w:sz="8" w:space="0" w:color="1B3D6F" w:themeColor="accent1"/>
          <w:bottom w:val="single" w:sz="8" w:space="0" w:color="1B3D6F" w:themeColor="accent1"/>
          <w:right w:val="single" w:sz="8" w:space="0" w:color="1B3D6F" w:themeColor="accent1"/>
        </w:tcBorders>
      </w:tcPr>
    </w:tblStylePr>
    <w:tblStylePr w:type="firstCol">
      <w:rPr>
        <w:b/>
        <w:bCs/>
      </w:rPr>
    </w:tblStylePr>
    <w:tblStylePr w:type="lastCol">
      <w:rPr>
        <w:b/>
        <w:bCs/>
      </w:rPr>
    </w:tblStylePr>
    <w:tblStylePr w:type="band1Vert">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tblStylePr w:type="band1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style>
  <w:style w:type="table" w:styleId="LightList-Accent2">
    <w:name w:val="Light List Accent 2"/>
    <w:basedOn w:val="TableNormal"/>
    <w:uiPriority w:val="61"/>
    <w:semiHidden/>
    <w:unhideWhenUsed/>
    <w:rsid w:val="00DE2100"/>
    <w:pPr>
      <w:spacing w:line="240" w:lineRule="auto"/>
    </w:p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tblBorders>
    </w:tblPr>
    <w:tblStylePr w:type="firstRow">
      <w:pPr>
        <w:spacing w:before="0" w:after="0" w:line="240" w:lineRule="auto"/>
      </w:pPr>
      <w:rPr>
        <w:b/>
        <w:bCs/>
        <w:color w:val="FFFFFF" w:themeColor="background1"/>
      </w:rPr>
      <w:tblPr/>
      <w:tcPr>
        <w:shd w:val="clear" w:color="auto" w:fill="2297AA" w:themeFill="accent2"/>
      </w:tcPr>
    </w:tblStylePr>
    <w:tblStylePr w:type="lastRow">
      <w:pPr>
        <w:spacing w:before="0" w:after="0" w:line="240" w:lineRule="auto"/>
      </w:pPr>
      <w:rPr>
        <w:b/>
        <w:bCs/>
      </w:rPr>
      <w:tblPr/>
      <w:tcPr>
        <w:tcBorders>
          <w:top w:val="double" w:sz="6" w:space="0" w:color="2297AA" w:themeColor="accent2"/>
          <w:left w:val="single" w:sz="8" w:space="0" w:color="2297AA" w:themeColor="accent2"/>
          <w:bottom w:val="single" w:sz="8" w:space="0" w:color="2297AA" w:themeColor="accent2"/>
          <w:right w:val="single" w:sz="8" w:space="0" w:color="2297AA" w:themeColor="accent2"/>
        </w:tcBorders>
      </w:tcPr>
    </w:tblStylePr>
    <w:tblStylePr w:type="firstCol">
      <w:rPr>
        <w:b/>
        <w:bCs/>
      </w:rPr>
    </w:tblStylePr>
    <w:tblStylePr w:type="lastCol">
      <w:rPr>
        <w:b/>
        <w:bCs/>
      </w:rPr>
    </w:tblStylePr>
    <w:tblStylePr w:type="band1Vert">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tblStylePr w:type="band1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style>
  <w:style w:type="table" w:styleId="LightList-Accent3">
    <w:name w:val="Light List Accent 3"/>
    <w:basedOn w:val="TableNormal"/>
    <w:uiPriority w:val="61"/>
    <w:semiHidden/>
    <w:unhideWhenUsed/>
    <w:rsid w:val="00DE2100"/>
    <w:pPr>
      <w:spacing w:line="240" w:lineRule="auto"/>
    </w:p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tblBorders>
    </w:tblPr>
    <w:tblStylePr w:type="firstRow">
      <w:pPr>
        <w:spacing w:before="0" w:after="0" w:line="240" w:lineRule="auto"/>
      </w:pPr>
      <w:rPr>
        <w:b/>
        <w:bCs/>
        <w:color w:val="FFFFFF" w:themeColor="background1"/>
      </w:rPr>
      <w:tblPr/>
      <w:tcPr>
        <w:shd w:val="clear" w:color="auto" w:fill="37BA95" w:themeFill="accent3"/>
      </w:tcPr>
    </w:tblStylePr>
    <w:tblStylePr w:type="lastRow">
      <w:pPr>
        <w:spacing w:before="0" w:after="0" w:line="240" w:lineRule="auto"/>
      </w:pPr>
      <w:rPr>
        <w:b/>
        <w:bCs/>
      </w:rPr>
      <w:tblPr/>
      <w:tcPr>
        <w:tcBorders>
          <w:top w:val="double" w:sz="6" w:space="0" w:color="37BA95" w:themeColor="accent3"/>
          <w:left w:val="single" w:sz="8" w:space="0" w:color="37BA95" w:themeColor="accent3"/>
          <w:bottom w:val="single" w:sz="8" w:space="0" w:color="37BA95" w:themeColor="accent3"/>
          <w:right w:val="single" w:sz="8" w:space="0" w:color="37BA95" w:themeColor="accent3"/>
        </w:tcBorders>
      </w:tcPr>
    </w:tblStylePr>
    <w:tblStylePr w:type="firstCol">
      <w:rPr>
        <w:b/>
        <w:bCs/>
      </w:rPr>
    </w:tblStylePr>
    <w:tblStylePr w:type="lastCol">
      <w:rPr>
        <w:b/>
        <w:bCs/>
      </w:rPr>
    </w:tblStylePr>
    <w:tblStylePr w:type="band1Vert">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tblStylePr w:type="band1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style>
  <w:style w:type="table" w:styleId="LightList-Accent4">
    <w:name w:val="Light List Accent 4"/>
    <w:basedOn w:val="TableNormal"/>
    <w:uiPriority w:val="61"/>
    <w:semiHidden/>
    <w:unhideWhenUsed/>
    <w:rsid w:val="00DE2100"/>
    <w:pPr>
      <w:spacing w:line="240" w:lineRule="auto"/>
    </w:p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tblBorders>
    </w:tblPr>
    <w:tblStylePr w:type="firstRow">
      <w:pPr>
        <w:spacing w:before="0" w:after="0" w:line="240" w:lineRule="auto"/>
      </w:pPr>
      <w:rPr>
        <w:b/>
        <w:bCs/>
        <w:color w:val="FFFFFF" w:themeColor="background1"/>
      </w:rPr>
      <w:tblPr/>
      <w:tcPr>
        <w:shd w:val="clear" w:color="auto" w:fill="F3BD48" w:themeFill="accent4"/>
      </w:tcPr>
    </w:tblStylePr>
    <w:tblStylePr w:type="lastRow">
      <w:pPr>
        <w:spacing w:before="0" w:after="0" w:line="240" w:lineRule="auto"/>
      </w:pPr>
      <w:rPr>
        <w:b/>
        <w:bCs/>
      </w:rPr>
      <w:tblPr/>
      <w:tcPr>
        <w:tcBorders>
          <w:top w:val="double" w:sz="6" w:space="0" w:color="F3BD48" w:themeColor="accent4"/>
          <w:left w:val="single" w:sz="8" w:space="0" w:color="F3BD48" w:themeColor="accent4"/>
          <w:bottom w:val="single" w:sz="8" w:space="0" w:color="F3BD48" w:themeColor="accent4"/>
          <w:right w:val="single" w:sz="8" w:space="0" w:color="F3BD48" w:themeColor="accent4"/>
        </w:tcBorders>
      </w:tcPr>
    </w:tblStylePr>
    <w:tblStylePr w:type="firstCol">
      <w:rPr>
        <w:b/>
        <w:bCs/>
      </w:rPr>
    </w:tblStylePr>
    <w:tblStylePr w:type="lastCol">
      <w:rPr>
        <w:b/>
        <w:bCs/>
      </w:rPr>
    </w:tblStylePr>
    <w:tblStylePr w:type="band1Vert">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tblStylePr w:type="band1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style>
  <w:style w:type="table" w:styleId="LightList-Accent6">
    <w:name w:val="Light List Accent 6"/>
    <w:basedOn w:val="TableNormal"/>
    <w:uiPriority w:val="61"/>
    <w:semiHidden/>
    <w:unhideWhenUsed/>
    <w:rsid w:val="00DE2100"/>
    <w:pPr>
      <w:spacing w:line="240" w:lineRule="auto"/>
    </w:p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tblBorders>
    </w:tblPr>
    <w:tblStylePr w:type="firstRow">
      <w:pPr>
        <w:spacing w:before="0" w:after="0" w:line="240" w:lineRule="auto"/>
      </w:pPr>
      <w:rPr>
        <w:b/>
        <w:bCs/>
        <w:color w:val="FFFFFF" w:themeColor="background1"/>
      </w:rPr>
      <w:tblPr/>
      <w:tcPr>
        <w:shd w:val="clear" w:color="auto" w:fill="CD3E71" w:themeFill="accent6"/>
      </w:tcPr>
    </w:tblStylePr>
    <w:tblStylePr w:type="lastRow">
      <w:pPr>
        <w:spacing w:before="0" w:after="0" w:line="240" w:lineRule="auto"/>
      </w:pPr>
      <w:rPr>
        <w:b/>
        <w:bCs/>
      </w:rPr>
      <w:tblPr/>
      <w:tcPr>
        <w:tcBorders>
          <w:top w:val="double" w:sz="6" w:space="0" w:color="CD3E71" w:themeColor="accent6"/>
          <w:left w:val="single" w:sz="8" w:space="0" w:color="CD3E71" w:themeColor="accent6"/>
          <w:bottom w:val="single" w:sz="8" w:space="0" w:color="CD3E71" w:themeColor="accent6"/>
          <w:right w:val="single" w:sz="8" w:space="0" w:color="CD3E71" w:themeColor="accent6"/>
        </w:tcBorders>
      </w:tcPr>
    </w:tblStylePr>
    <w:tblStylePr w:type="firstCol">
      <w:rPr>
        <w:b/>
        <w:bCs/>
      </w:rPr>
    </w:tblStylePr>
    <w:tblStylePr w:type="lastCol">
      <w:rPr>
        <w:b/>
        <w:bCs/>
      </w:rPr>
    </w:tblStylePr>
    <w:tblStylePr w:type="band1Vert">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tblStylePr w:type="band1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style>
  <w:style w:type="table" w:styleId="LightShading">
    <w:name w:val="Light Shading"/>
    <w:basedOn w:val="TableNormal"/>
    <w:uiPriority w:val="60"/>
    <w:semiHidden/>
    <w:unhideWhenUsed/>
    <w:rsid w:val="00DE210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2100"/>
    <w:pPr>
      <w:spacing w:line="240" w:lineRule="auto"/>
    </w:pPr>
    <w:rPr>
      <w:color w:val="142D53" w:themeColor="accent1" w:themeShade="BF"/>
    </w:rPr>
    <w:tblPr>
      <w:tblStyleRowBandSize w:val="1"/>
      <w:tblStyleColBandSize w:val="1"/>
      <w:tblBorders>
        <w:top w:val="single" w:sz="8" w:space="0" w:color="1B3D6F" w:themeColor="accent1"/>
        <w:bottom w:val="single" w:sz="8" w:space="0" w:color="1B3D6F" w:themeColor="accent1"/>
      </w:tblBorders>
    </w:tblPr>
    <w:tblStylePr w:type="firstRow">
      <w:pPr>
        <w:spacing w:before="0" w:after="0" w:line="240" w:lineRule="auto"/>
      </w:pPr>
      <w:rPr>
        <w:b/>
        <w:bCs/>
      </w:rPr>
      <w:tblPr/>
      <w:tcPr>
        <w:tcBorders>
          <w:top w:val="single" w:sz="8" w:space="0" w:color="1B3D6F" w:themeColor="accent1"/>
          <w:left w:val="nil"/>
          <w:bottom w:val="single" w:sz="8" w:space="0" w:color="1B3D6F" w:themeColor="accent1"/>
          <w:right w:val="nil"/>
          <w:insideH w:val="nil"/>
          <w:insideV w:val="nil"/>
        </w:tcBorders>
      </w:tcPr>
    </w:tblStylePr>
    <w:tblStylePr w:type="lastRow">
      <w:pPr>
        <w:spacing w:before="0" w:after="0" w:line="240" w:lineRule="auto"/>
      </w:pPr>
      <w:rPr>
        <w:b/>
        <w:bCs/>
      </w:rPr>
      <w:tblPr/>
      <w:tcPr>
        <w:tcBorders>
          <w:top w:val="single" w:sz="8" w:space="0" w:color="1B3D6F" w:themeColor="accent1"/>
          <w:left w:val="nil"/>
          <w:bottom w:val="single" w:sz="8" w:space="0" w:color="1B3D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BED" w:themeFill="accent1" w:themeFillTint="3F"/>
      </w:tcPr>
    </w:tblStylePr>
    <w:tblStylePr w:type="band1Horz">
      <w:tblPr/>
      <w:tcPr>
        <w:tcBorders>
          <w:left w:val="nil"/>
          <w:right w:val="nil"/>
          <w:insideH w:val="nil"/>
          <w:insideV w:val="nil"/>
        </w:tcBorders>
        <w:shd w:val="clear" w:color="auto" w:fill="B5CBED" w:themeFill="accent1" w:themeFillTint="3F"/>
      </w:tcPr>
    </w:tblStylePr>
  </w:style>
  <w:style w:type="table" w:styleId="LightShading-Accent2">
    <w:name w:val="Light Shading Accent 2"/>
    <w:basedOn w:val="TableNormal"/>
    <w:uiPriority w:val="60"/>
    <w:semiHidden/>
    <w:unhideWhenUsed/>
    <w:rsid w:val="00DE2100"/>
    <w:pPr>
      <w:spacing w:line="240" w:lineRule="auto"/>
    </w:pPr>
    <w:rPr>
      <w:color w:val="19707F" w:themeColor="accent2" w:themeShade="BF"/>
    </w:rPr>
    <w:tblPr>
      <w:tblStyleRowBandSize w:val="1"/>
      <w:tblStyleColBandSize w:val="1"/>
      <w:tblBorders>
        <w:top w:val="single" w:sz="8" w:space="0" w:color="2297AA" w:themeColor="accent2"/>
        <w:bottom w:val="single" w:sz="8" w:space="0" w:color="2297AA" w:themeColor="accent2"/>
      </w:tblBorders>
    </w:tblPr>
    <w:tblStylePr w:type="firstRow">
      <w:pPr>
        <w:spacing w:before="0" w:after="0" w:line="240" w:lineRule="auto"/>
      </w:pPr>
      <w:rPr>
        <w:b/>
        <w:bCs/>
      </w:rPr>
      <w:tblPr/>
      <w:tcPr>
        <w:tcBorders>
          <w:top w:val="single" w:sz="8" w:space="0" w:color="2297AA" w:themeColor="accent2"/>
          <w:left w:val="nil"/>
          <w:bottom w:val="single" w:sz="8" w:space="0" w:color="2297AA" w:themeColor="accent2"/>
          <w:right w:val="nil"/>
          <w:insideH w:val="nil"/>
          <w:insideV w:val="nil"/>
        </w:tcBorders>
      </w:tcPr>
    </w:tblStylePr>
    <w:tblStylePr w:type="lastRow">
      <w:pPr>
        <w:spacing w:before="0" w:after="0" w:line="240" w:lineRule="auto"/>
      </w:pPr>
      <w:rPr>
        <w:b/>
        <w:bCs/>
      </w:rPr>
      <w:tblPr/>
      <w:tcPr>
        <w:tcBorders>
          <w:top w:val="single" w:sz="8" w:space="0" w:color="2297AA" w:themeColor="accent2"/>
          <w:left w:val="nil"/>
          <w:bottom w:val="single" w:sz="8" w:space="0" w:color="2297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BF2" w:themeFill="accent2" w:themeFillTint="3F"/>
      </w:tcPr>
    </w:tblStylePr>
    <w:tblStylePr w:type="band1Horz">
      <w:tblPr/>
      <w:tcPr>
        <w:tcBorders>
          <w:left w:val="nil"/>
          <w:right w:val="nil"/>
          <w:insideH w:val="nil"/>
          <w:insideV w:val="nil"/>
        </w:tcBorders>
        <w:shd w:val="clear" w:color="auto" w:fill="BFEBF2" w:themeFill="accent2" w:themeFillTint="3F"/>
      </w:tcPr>
    </w:tblStylePr>
  </w:style>
  <w:style w:type="table" w:styleId="LightShading-Accent3">
    <w:name w:val="Light Shading Accent 3"/>
    <w:basedOn w:val="TableNormal"/>
    <w:uiPriority w:val="60"/>
    <w:semiHidden/>
    <w:unhideWhenUsed/>
    <w:rsid w:val="00DE2100"/>
    <w:pPr>
      <w:spacing w:line="240" w:lineRule="auto"/>
    </w:pPr>
    <w:rPr>
      <w:color w:val="298B6F" w:themeColor="accent3" w:themeShade="BF"/>
    </w:rPr>
    <w:tblPr>
      <w:tblStyleRowBandSize w:val="1"/>
      <w:tblStyleColBandSize w:val="1"/>
      <w:tblBorders>
        <w:top w:val="single" w:sz="8" w:space="0" w:color="37BA95" w:themeColor="accent3"/>
        <w:bottom w:val="single" w:sz="8" w:space="0" w:color="37BA95" w:themeColor="accent3"/>
      </w:tblBorders>
    </w:tblPr>
    <w:tblStylePr w:type="firstRow">
      <w:pPr>
        <w:spacing w:before="0" w:after="0" w:line="240" w:lineRule="auto"/>
      </w:pPr>
      <w:rPr>
        <w:b/>
        <w:bCs/>
      </w:rPr>
      <w:tblPr/>
      <w:tcPr>
        <w:tcBorders>
          <w:top w:val="single" w:sz="8" w:space="0" w:color="37BA95" w:themeColor="accent3"/>
          <w:left w:val="nil"/>
          <w:bottom w:val="single" w:sz="8" w:space="0" w:color="37BA95" w:themeColor="accent3"/>
          <w:right w:val="nil"/>
          <w:insideH w:val="nil"/>
          <w:insideV w:val="nil"/>
        </w:tcBorders>
      </w:tcPr>
    </w:tblStylePr>
    <w:tblStylePr w:type="lastRow">
      <w:pPr>
        <w:spacing w:before="0" w:after="0" w:line="240" w:lineRule="auto"/>
      </w:pPr>
      <w:rPr>
        <w:b/>
        <w:bCs/>
      </w:rPr>
      <w:tblPr/>
      <w:tcPr>
        <w:tcBorders>
          <w:top w:val="single" w:sz="8" w:space="0" w:color="37BA95" w:themeColor="accent3"/>
          <w:left w:val="nil"/>
          <w:bottom w:val="single" w:sz="8" w:space="0" w:color="37BA9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5" w:themeFill="accent3" w:themeFillTint="3F"/>
      </w:tcPr>
    </w:tblStylePr>
    <w:tblStylePr w:type="band1Horz">
      <w:tblPr/>
      <w:tcPr>
        <w:tcBorders>
          <w:left w:val="nil"/>
          <w:right w:val="nil"/>
          <w:insideH w:val="nil"/>
          <w:insideV w:val="nil"/>
        </w:tcBorders>
        <w:shd w:val="clear" w:color="auto" w:fill="CBEFE5" w:themeFill="accent3" w:themeFillTint="3F"/>
      </w:tcPr>
    </w:tblStylePr>
  </w:style>
  <w:style w:type="table" w:styleId="LightShading-Accent4">
    <w:name w:val="Light Shading Accent 4"/>
    <w:basedOn w:val="TableNormal"/>
    <w:uiPriority w:val="60"/>
    <w:semiHidden/>
    <w:unhideWhenUsed/>
    <w:rsid w:val="00DE2100"/>
    <w:pPr>
      <w:spacing w:line="240" w:lineRule="auto"/>
    </w:pPr>
    <w:rPr>
      <w:color w:val="DD9B0E" w:themeColor="accent4" w:themeShade="BF"/>
    </w:rPr>
    <w:tblPr>
      <w:tblStyleRowBandSize w:val="1"/>
      <w:tblStyleColBandSize w:val="1"/>
      <w:tblBorders>
        <w:top w:val="single" w:sz="8" w:space="0" w:color="F3BD48" w:themeColor="accent4"/>
        <w:bottom w:val="single" w:sz="8" w:space="0" w:color="F3BD48" w:themeColor="accent4"/>
      </w:tblBorders>
    </w:tblPr>
    <w:tblStylePr w:type="firstRow">
      <w:pPr>
        <w:spacing w:before="0" w:after="0" w:line="240" w:lineRule="auto"/>
      </w:pPr>
      <w:rPr>
        <w:b/>
        <w:bCs/>
      </w:rPr>
      <w:tblPr/>
      <w:tcPr>
        <w:tcBorders>
          <w:top w:val="single" w:sz="8" w:space="0" w:color="F3BD48" w:themeColor="accent4"/>
          <w:left w:val="nil"/>
          <w:bottom w:val="single" w:sz="8" w:space="0" w:color="F3BD48" w:themeColor="accent4"/>
          <w:right w:val="nil"/>
          <w:insideH w:val="nil"/>
          <w:insideV w:val="nil"/>
        </w:tcBorders>
      </w:tcPr>
    </w:tblStylePr>
    <w:tblStylePr w:type="lastRow">
      <w:pPr>
        <w:spacing w:before="0" w:after="0" w:line="240" w:lineRule="auto"/>
      </w:pPr>
      <w:rPr>
        <w:b/>
        <w:bCs/>
      </w:rPr>
      <w:tblPr/>
      <w:tcPr>
        <w:tcBorders>
          <w:top w:val="single" w:sz="8" w:space="0" w:color="F3BD48" w:themeColor="accent4"/>
          <w:left w:val="nil"/>
          <w:bottom w:val="single" w:sz="8" w:space="0" w:color="F3BD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D1" w:themeFill="accent4" w:themeFillTint="3F"/>
      </w:tcPr>
    </w:tblStylePr>
    <w:tblStylePr w:type="band1Horz">
      <w:tblPr/>
      <w:tcPr>
        <w:tcBorders>
          <w:left w:val="nil"/>
          <w:right w:val="nil"/>
          <w:insideH w:val="nil"/>
          <w:insideV w:val="nil"/>
        </w:tcBorders>
        <w:shd w:val="clear" w:color="auto" w:fill="FCEED1" w:themeFill="accent4" w:themeFillTint="3F"/>
      </w:tcPr>
    </w:tblStylePr>
  </w:style>
  <w:style w:type="table" w:styleId="LightShading-Accent5">
    <w:name w:val="Light Shading Accent 5"/>
    <w:basedOn w:val="TableNormal"/>
    <w:uiPriority w:val="60"/>
    <w:semiHidden/>
    <w:unhideWhenUsed/>
    <w:rsid w:val="00DE2100"/>
    <w:pPr>
      <w:spacing w:line="240" w:lineRule="auto"/>
    </w:pPr>
    <w:rPr>
      <w:color w:val="C4490B" w:themeColor="accent5" w:themeShade="BF"/>
    </w:rPr>
    <w:tblPr>
      <w:tblStyleRowBandSize w:val="1"/>
      <w:tblStyleColBandSize w:val="1"/>
      <w:tblBorders>
        <w:top w:val="single" w:sz="8" w:space="0" w:color="F26A25" w:themeColor="accent5"/>
        <w:bottom w:val="single" w:sz="8" w:space="0" w:color="F26A25" w:themeColor="accent5"/>
      </w:tblBorders>
    </w:tblPr>
    <w:tblStylePr w:type="firstRow">
      <w:pPr>
        <w:spacing w:before="0" w:after="0" w:line="240" w:lineRule="auto"/>
      </w:pPr>
      <w:rPr>
        <w:b/>
        <w:bCs/>
      </w:rPr>
      <w:tblPr/>
      <w:tcPr>
        <w:tcBorders>
          <w:top w:val="single" w:sz="8" w:space="0" w:color="F26A25" w:themeColor="accent5"/>
          <w:left w:val="nil"/>
          <w:bottom w:val="single" w:sz="8" w:space="0" w:color="F26A25" w:themeColor="accent5"/>
          <w:right w:val="nil"/>
          <w:insideH w:val="nil"/>
          <w:insideV w:val="nil"/>
        </w:tcBorders>
      </w:tcPr>
    </w:tblStylePr>
    <w:tblStylePr w:type="lastRow">
      <w:pPr>
        <w:spacing w:before="0" w:after="0" w:line="240" w:lineRule="auto"/>
      </w:pPr>
      <w:rPr>
        <w:b/>
        <w:bCs/>
      </w:rPr>
      <w:tblPr/>
      <w:tcPr>
        <w:tcBorders>
          <w:top w:val="single" w:sz="8" w:space="0" w:color="F26A25" w:themeColor="accent5"/>
          <w:left w:val="nil"/>
          <w:bottom w:val="single" w:sz="8" w:space="0" w:color="F26A2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8" w:themeFill="accent5" w:themeFillTint="3F"/>
      </w:tcPr>
    </w:tblStylePr>
    <w:tblStylePr w:type="band1Horz">
      <w:tblPr/>
      <w:tcPr>
        <w:tcBorders>
          <w:left w:val="nil"/>
          <w:right w:val="nil"/>
          <w:insideH w:val="nil"/>
          <w:insideV w:val="nil"/>
        </w:tcBorders>
        <w:shd w:val="clear" w:color="auto" w:fill="FBD9C8" w:themeFill="accent5" w:themeFillTint="3F"/>
      </w:tcPr>
    </w:tblStylePr>
  </w:style>
  <w:style w:type="table" w:styleId="LightShading-Accent6">
    <w:name w:val="Light Shading Accent 6"/>
    <w:basedOn w:val="TableNormal"/>
    <w:uiPriority w:val="60"/>
    <w:semiHidden/>
    <w:unhideWhenUsed/>
    <w:rsid w:val="00DE2100"/>
    <w:pPr>
      <w:spacing w:line="240" w:lineRule="auto"/>
    </w:pPr>
    <w:rPr>
      <w:color w:val="9E2952" w:themeColor="accent6" w:themeShade="BF"/>
    </w:rPr>
    <w:tblPr>
      <w:tblStyleRowBandSize w:val="1"/>
      <w:tblStyleColBandSize w:val="1"/>
      <w:tblBorders>
        <w:top w:val="single" w:sz="8" w:space="0" w:color="CD3E71" w:themeColor="accent6"/>
        <w:bottom w:val="single" w:sz="8" w:space="0" w:color="CD3E71" w:themeColor="accent6"/>
      </w:tblBorders>
    </w:tblPr>
    <w:tblStylePr w:type="firstRow">
      <w:pPr>
        <w:spacing w:before="0" w:after="0" w:line="240" w:lineRule="auto"/>
      </w:pPr>
      <w:rPr>
        <w:b/>
        <w:bCs/>
      </w:rPr>
      <w:tblPr/>
      <w:tcPr>
        <w:tcBorders>
          <w:top w:val="single" w:sz="8" w:space="0" w:color="CD3E71" w:themeColor="accent6"/>
          <w:left w:val="nil"/>
          <w:bottom w:val="single" w:sz="8" w:space="0" w:color="CD3E71" w:themeColor="accent6"/>
          <w:right w:val="nil"/>
          <w:insideH w:val="nil"/>
          <w:insideV w:val="nil"/>
        </w:tcBorders>
      </w:tcPr>
    </w:tblStylePr>
    <w:tblStylePr w:type="lastRow">
      <w:pPr>
        <w:spacing w:before="0" w:after="0" w:line="240" w:lineRule="auto"/>
      </w:pPr>
      <w:rPr>
        <w:b/>
        <w:bCs/>
      </w:rPr>
      <w:tblPr/>
      <w:tcPr>
        <w:tcBorders>
          <w:top w:val="single" w:sz="8" w:space="0" w:color="CD3E71" w:themeColor="accent6"/>
          <w:left w:val="nil"/>
          <w:bottom w:val="single" w:sz="8" w:space="0" w:color="CD3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FDB" w:themeFill="accent6" w:themeFillTint="3F"/>
      </w:tcPr>
    </w:tblStylePr>
    <w:tblStylePr w:type="band1Horz">
      <w:tblPr/>
      <w:tcPr>
        <w:tcBorders>
          <w:left w:val="nil"/>
          <w:right w:val="nil"/>
          <w:insideH w:val="nil"/>
          <w:insideV w:val="nil"/>
        </w:tcBorders>
        <w:shd w:val="clear" w:color="auto" w:fill="F2CFDB" w:themeFill="accent6" w:themeFillTint="3F"/>
      </w:tcPr>
    </w:tblStylePr>
  </w:style>
  <w:style w:type="paragraph" w:styleId="List">
    <w:name w:val="List"/>
    <w:basedOn w:val="Normal"/>
    <w:uiPriority w:val="99"/>
    <w:semiHidden/>
    <w:unhideWhenUsed/>
    <w:rsid w:val="00DE2100"/>
    <w:pPr>
      <w:ind w:left="360" w:hanging="360"/>
      <w:contextualSpacing/>
    </w:pPr>
  </w:style>
  <w:style w:type="paragraph" w:styleId="List2">
    <w:name w:val="List 2"/>
    <w:basedOn w:val="Normal"/>
    <w:uiPriority w:val="99"/>
    <w:semiHidden/>
    <w:unhideWhenUsed/>
    <w:rsid w:val="00DE2100"/>
    <w:pPr>
      <w:ind w:left="720" w:hanging="360"/>
      <w:contextualSpacing/>
    </w:pPr>
  </w:style>
  <w:style w:type="paragraph" w:styleId="List5">
    <w:name w:val="List 5"/>
    <w:basedOn w:val="Normal"/>
    <w:uiPriority w:val="99"/>
    <w:semiHidden/>
    <w:unhideWhenUsed/>
    <w:rsid w:val="00DE2100"/>
    <w:pPr>
      <w:ind w:left="1800" w:hanging="360"/>
      <w:contextualSpacing/>
    </w:pPr>
  </w:style>
  <w:style w:type="paragraph" w:styleId="ListBullet">
    <w:name w:val="List Bullet"/>
    <w:basedOn w:val="Normal"/>
    <w:uiPriority w:val="99"/>
    <w:semiHidden/>
    <w:unhideWhenUsed/>
    <w:rsid w:val="00DE2100"/>
    <w:pPr>
      <w:numPr>
        <w:numId w:val="22"/>
      </w:numPr>
      <w:contextualSpacing/>
    </w:pPr>
  </w:style>
  <w:style w:type="paragraph" w:styleId="ListContinue">
    <w:name w:val="List Continue"/>
    <w:basedOn w:val="Normal"/>
    <w:uiPriority w:val="99"/>
    <w:semiHidden/>
    <w:unhideWhenUsed/>
    <w:rsid w:val="00DE2100"/>
    <w:pPr>
      <w:spacing w:after="120"/>
      <w:ind w:left="360"/>
      <w:contextualSpacing/>
    </w:pPr>
  </w:style>
  <w:style w:type="paragraph" w:styleId="ListContinue2">
    <w:name w:val="List Continue 2"/>
    <w:basedOn w:val="Normal"/>
    <w:uiPriority w:val="99"/>
    <w:semiHidden/>
    <w:unhideWhenUsed/>
    <w:rsid w:val="00DE2100"/>
    <w:pPr>
      <w:spacing w:after="120"/>
      <w:ind w:left="720"/>
      <w:contextualSpacing/>
    </w:pPr>
  </w:style>
  <w:style w:type="paragraph" w:styleId="ListContinue4">
    <w:name w:val="List Continue 4"/>
    <w:basedOn w:val="Normal"/>
    <w:uiPriority w:val="99"/>
    <w:semiHidden/>
    <w:unhideWhenUsed/>
    <w:rsid w:val="00DE2100"/>
    <w:pPr>
      <w:spacing w:after="120"/>
      <w:ind w:left="1440"/>
      <w:contextualSpacing/>
    </w:pPr>
  </w:style>
  <w:style w:type="paragraph" w:styleId="ListContinue5">
    <w:name w:val="List Continue 5"/>
    <w:basedOn w:val="Normal"/>
    <w:uiPriority w:val="99"/>
    <w:semiHidden/>
    <w:unhideWhenUsed/>
    <w:rsid w:val="00DE2100"/>
    <w:pPr>
      <w:spacing w:after="120"/>
      <w:ind w:left="1800"/>
      <w:contextualSpacing/>
    </w:pPr>
  </w:style>
  <w:style w:type="paragraph" w:styleId="ListNumber5">
    <w:name w:val="List Number 5"/>
    <w:basedOn w:val="Normal"/>
    <w:uiPriority w:val="99"/>
    <w:semiHidden/>
    <w:unhideWhenUsed/>
    <w:rsid w:val="00DE2100"/>
    <w:pPr>
      <w:numPr>
        <w:numId w:val="28"/>
      </w:numPr>
      <w:contextualSpacing/>
    </w:pPr>
  </w:style>
  <w:style w:type="table" w:styleId="ListTable1Light">
    <w:name w:val="List Table 1 Light"/>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4B82D3" w:themeColor="accent1" w:themeTint="99"/>
        </w:tcBorders>
      </w:tcPr>
    </w:tblStylePr>
    <w:tblStylePr w:type="lastRow">
      <w:rPr>
        <w:b/>
        <w:bCs/>
      </w:rPr>
      <w:tblPr/>
      <w:tcPr>
        <w:tcBorders>
          <w:top w:val="sing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1Light-Accent2">
    <w:name w:val="List Table 1 Light Accent 2"/>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65CFE0" w:themeColor="accent2" w:themeTint="99"/>
        </w:tcBorders>
      </w:tcPr>
    </w:tblStylePr>
    <w:tblStylePr w:type="lastRow">
      <w:rPr>
        <w:b/>
        <w:bCs/>
      </w:rPr>
      <w:tblPr/>
      <w:tcPr>
        <w:tcBorders>
          <w:top w:val="sing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1Light-Accent3">
    <w:name w:val="List Table 1 Light Accent 3"/>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82DAC0" w:themeColor="accent3" w:themeTint="99"/>
        </w:tcBorders>
      </w:tcPr>
    </w:tblStylePr>
    <w:tblStylePr w:type="lastRow">
      <w:rPr>
        <w:b/>
        <w:bCs/>
      </w:rPr>
      <w:tblPr/>
      <w:tcPr>
        <w:tcBorders>
          <w:top w:val="sing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1Light-Accent4">
    <w:name w:val="List Table 1 Light Accent 4"/>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F7D791" w:themeColor="accent4" w:themeTint="99"/>
        </w:tcBorders>
      </w:tcPr>
    </w:tblStylePr>
    <w:tblStylePr w:type="lastRow">
      <w:rPr>
        <w:b/>
        <w:bCs/>
      </w:rPr>
      <w:tblPr/>
      <w:tcPr>
        <w:tcBorders>
          <w:top w:val="sing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1Light-Accent5">
    <w:name w:val="List Table 1 Light Accent 5"/>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F7A57C" w:themeColor="accent5" w:themeTint="99"/>
        </w:tcBorders>
      </w:tcPr>
    </w:tblStylePr>
    <w:tblStylePr w:type="lastRow">
      <w:rPr>
        <w:b/>
        <w:bCs/>
      </w:rPr>
      <w:tblPr/>
      <w:tcPr>
        <w:tcBorders>
          <w:top w:val="sing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1Light-Accent6">
    <w:name w:val="List Table 1 Light Accent 6"/>
    <w:basedOn w:val="TableNormal"/>
    <w:uiPriority w:val="46"/>
    <w:unhideWhenUsed/>
    <w:rsid w:val="00DE2100"/>
    <w:pPr>
      <w:spacing w:line="240" w:lineRule="auto"/>
    </w:pPr>
    <w:tblPr>
      <w:tblStyleRowBandSize w:val="1"/>
      <w:tblStyleColBandSize w:val="1"/>
    </w:tblPr>
    <w:tblStylePr w:type="firstRow">
      <w:rPr>
        <w:b/>
        <w:bCs/>
      </w:rPr>
      <w:tblPr/>
      <w:tcPr>
        <w:tcBorders>
          <w:bottom w:val="single" w:sz="4" w:space="0" w:color="E18BA9" w:themeColor="accent6" w:themeTint="99"/>
        </w:tcBorders>
      </w:tcPr>
    </w:tblStylePr>
    <w:tblStylePr w:type="lastRow">
      <w:rPr>
        <w:b/>
        <w:bCs/>
      </w:rPr>
      <w:tblPr/>
      <w:tcPr>
        <w:tcBorders>
          <w:top w:val="sing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2">
    <w:name w:val="List Table 2"/>
    <w:basedOn w:val="TableNormal"/>
    <w:uiPriority w:val="47"/>
    <w:unhideWhenUsed/>
    <w:rsid w:val="00DE210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DE2100"/>
    <w:pPr>
      <w:spacing w:line="240" w:lineRule="auto"/>
    </w:pPr>
    <w:tblPr>
      <w:tblStyleRowBandSize w:val="1"/>
      <w:tblStyleColBandSize w:val="1"/>
      <w:tblBorders>
        <w:top w:val="single" w:sz="4" w:space="0" w:color="4B82D3" w:themeColor="accent1" w:themeTint="99"/>
        <w:bottom w:val="single" w:sz="4" w:space="0" w:color="4B82D3" w:themeColor="accent1" w:themeTint="99"/>
        <w:insideH w:val="single" w:sz="4" w:space="0" w:color="4B82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2-Accent2">
    <w:name w:val="List Table 2 Accent 2"/>
    <w:basedOn w:val="TableNormal"/>
    <w:uiPriority w:val="47"/>
    <w:unhideWhenUsed/>
    <w:rsid w:val="00DE2100"/>
    <w:pPr>
      <w:spacing w:line="240" w:lineRule="auto"/>
    </w:pPr>
    <w:tblPr>
      <w:tblStyleRowBandSize w:val="1"/>
      <w:tblStyleColBandSize w:val="1"/>
      <w:tblBorders>
        <w:top w:val="single" w:sz="4" w:space="0" w:color="65CFE0" w:themeColor="accent2" w:themeTint="99"/>
        <w:bottom w:val="single" w:sz="4" w:space="0" w:color="65CFE0" w:themeColor="accent2" w:themeTint="99"/>
        <w:insideH w:val="single" w:sz="4" w:space="0" w:color="65CF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2-Accent3">
    <w:name w:val="List Table 2 Accent 3"/>
    <w:basedOn w:val="TableNormal"/>
    <w:uiPriority w:val="47"/>
    <w:unhideWhenUsed/>
    <w:rsid w:val="00DE2100"/>
    <w:pPr>
      <w:spacing w:line="240" w:lineRule="auto"/>
    </w:pPr>
    <w:tblPr>
      <w:tblStyleRowBandSize w:val="1"/>
      <w:tblStyleColBandSize w:val="1"/>
      <w:tblBorders>
        <w:top w:val="single" w:sz="4" w:space="0" w:color="82DAC0" w:themeColor="accent3" w:themeTint="99"/>
        <w:bottom w:val="single" w:sz="4" w:space="0" w:color="82DAC0" w:themeColor="accent3" w:themeTint="99"/>
        <w:insideH w:val="single" w:sz="4" w:space="0" w:color="82DA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2-Accent4">
    <w:name w:val="List Table 2 Accent 4"/>
    <w:basedOn w:val="TableNormal"/>
    <w:uiPriority w:val="47"/>
    <w:unhideWhenUsed/>
    <w:rsid w:val="00DE2100"/>
    <w:pPr>
      <w:spacing w:line="240" w:lineRule="auto"/>
    </w:pPr>
    <w:tblPr>
      <w:tblStyleRowBandSize w:val="1"/>
      <w:tblStyleColBandSize w:val="1"/>
      <w:tblBorders>
        <w:top w:val="single" w:sz="4" w:space="0" w:color="F7D791" w:themeColor="accent4" w:themeTint="99"/>
        <w:bottom w:val="single" w:sz="4" w:space="0" w:color="F7D791" w:themeColor="accent4" w:themeTint="99"/>
        <w:insideH w:val="single" w:sz="4" w:space="0" w:color="F7D7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2-Accent5">
    <w:name w:val="List Table 2 Accent 5"/>
    <w:basedOn w:val="TableNormal"/>
    <w:uiPriority w:val="47"/>
    <w:unhideWhenUsed/>
    <w:rsid w:val="00DE2100"/>
    <w:pPr>
      <w:spacing w:line="240" w:lineRule="auto"/>
    </w:pPr>
    <w:tblPr>
      <w:tblStyleRowBandSize w:val="1"/>
      <w:tblStyleColBandSize w:val="1"/>
      <w:tblBorders>
        <w:top w:val="single" w:sz="4" w:space="0" w:color="F7A57C" w:themeColor="accent5" w:themeTint="99"/>
        <w:bottom w:val="single" w:sz="4" w:space="0" w:color="F7A57C" w:themeColor="accent5" w:themeTint="99"/>
        <w:insideH w:val="single" w:sz="4" w:space="0" w:color="F7A5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2-Accent6">
    <w:name w:val="List Table 2 Accent 6"/>
    <w:basedOn w:val="TableNormal"/>
    <w:uiPriority w:val="47"/>
    <w:unhideWhenUsed/>
    <w:rsid w:val="00DE2100"/>
    <w:pPr>
      <w:spacing w:line="240" w:lineRule="auto"/>
    </w:pPr>
    <w:tblPr>
      <w:tblStyleRowBandSize w:val="1"/>
      <w:tblStyleColBandSize w:val="1"/>
      <w:tblBorders>
        <w:top w:val="single" w:sz="4" w:space="0" w:color="E18BA9" w:themeColor="accent6" w:themeTint="99"/>
        <w:bottom w:val="single" w:sz="4" w:space="0" w:color="E18BA9" w:themeColor="accent6" w:themeTint="99"/>
        <w:insideH w:val="single" w:sz="4" w:space="0" w:color="E18B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3">
    <w:name w:val="List Table 3"/>
    <w:basedOn w:val="TableNormal"/>
    <w:uiPriority w:val="48"/>
    <w:unhideWhenUsed/>
    <w:rsid w:val="00DE210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DE2100"/>
    <w:pPr>
      <w:spacing w:line="240" w:lineRule="auto"/>
    </w:pPr>
    <w:tblPr>
      <w:tblStyleRowBandSize w:val="1"/>
      <w:tblStyleColBandSize w:val="1"/>
      <w:tblBorders>
        <w:top w:val="single" w:sz="4" w:space="0" w:color="1B3D6F" w:themeColor="accent1"/>
        <w:left w:val="single" w:sz="4" w:space="0" w:color="1B3D6F" w:themeColor="accent1"/>
        <w:bottom w:val="single" w:sz="4" w:space="0" w:color="1B3D6F" w:themeColor="accent1"/>
        <w:right w:val="single" w:sz="4" w:space="0" w:color="1B3D6F" w:themeColor="accent1"/>
      </w:tblBorders>
    </w:tblPr>
    <w:tblStylePr w:type="firstRow">
      <w:rPr>
        <w:b/>
        <w:bCs/>
        <w:color w:val="FFFFFF" w:themeColor="background1"/>
      </w:rPr>
      <w:tblPr/>
      <w:tcPr>
        <w:shd w:val="clear" w:color="auto" w:fill="1B3D6F" w:themeFill="accent1"/>
      </w:tcPr>
    </w:tblStylePr>
    <w:tblStylePr w:type="lastRow">
      <w:rPr>
        <w:b/>
        <w:bCs/>
      </w:rPr>
      <w:tblPr/>
      <w:tcPr>
        <w:tcBorders>
          <w:top w:val="double" w:sz="4" w:space="0" w:color="1B3D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3D6F" w:themeColor="accent1"/>
          <w:right w:val="single" w:sz="4" w:space="0" w:color="1B3D6F" w:themeColor="accent1"/>
        </w:tcBorders>
      </w:tcPr>
    </w:tblStylePr>
    <w:tblStylePr w:type="band1Horz">
      <w:tblPr/>
      <w:tcPr>
        <w:tcBorders>
          <w:top w:val="single" w:sz="4" w:space="0" w:color="1B3D6F" w:themeColor="accent1"/>
          <w:bottom w:val="single" w:sz="4" w:space="0" w:color="1B3D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3D6F" w:themeColor="accent1"/>
          <w:left w:val="nil"/>
        </w:tcBorders>
      </w:tcPr>
    </w:tblStylePr>
    <w:tblStylePr w:type="swCell">
      <w:tblPr/>
      <w:tcPr>
        <w:tcBorders>
          <w:top w:val="double" w:sz="4" w:space="0" w:color="1B3D6F" w:themeColor="accent1"/>
          <w:right w:val="nil"/>
        </w:tcBorders>
      </w:tcPr>
    </w:tblStylePr>
  </w:style>
  <w:style w:type="table" w:styleId="ListTable3-Accent2">
    <w:name w:val="List Table 3 Accent 2"/>
    <w:basedOn w:val="TableNormal"/>
    <w:uiPriority w:val="48"/>
    <w:unhideWhenUsed/>
    <w:rsid w:val="00DE2100"/>
    <w:pPr>
      <w:spacing w:line="240" w:lineRule="auto"/>
    </w:pPr>
    <w:tblPr>
      <w:tblStyleRowBandSize w:val="1"/>
      <w:tblStyleColBandSize w:val="1"/>
      <w:tblBorders>
        <w:top w:val="single" w:sz="4" w:space="0" w:color="2297AA" w:themeColor="accent2"/>
        <w:left w:val="single" w:sz="4" w:space="0" w:color="2297AA" w:themeColor="accent2"/>
        <w:bottom w:val="single" w:sz="4" w:space="0" w:color="2297AA" w:themeColor="accent2"/>
        <w:right w:val="single" w:sz="4" w:space="0" w:color="2297AA" w:themeColor="accent2"/>
      </w:tblBorders>
    </w:tblPr>
    <w:tblStylePr w:type="firstRow">
      <w:rPr>
        <w:b/>
        <w:bCs/>
        <w:color w:val="FFFFFF" w:themeColor="background1"/>
      </w:rPr>
      <w:tblPr/>
      <w:tcPr>
        <w:shd w:val="clear" w:color="auto" w:fill="2297AA" w:themeFill="accent2"/>
      </w:tcPr>
    </w:tblStylePr>
    <w:tblStylePr w:type="lastRow">
      <w:rPr>
        <w:b/>
        <w:bCs/>
      </w:rPr>
      <w:tblPr/>
      <w:tcPr>
        <w:tcBorders>
          <w:top w:val="double" w:sz="4" w:space="0" w:color="2297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97AA" w:themeColor="accent2"/>
          <w:right w:val="single" w:sz="4" w:space="0" w:color="2297AA" w:themeColor="accent2"/>
        </w:tcBorders>
      </w:tcPr>
    </w:tblStylePr>
    <w:tblStylePr w:type="band1Horz">
      <w:tblPr/>
      <w:tcPr>
        <w:tcBorders>
          <w:top w:val="single" w:sz="4" w:space="0" w:color="2297AA" w:themeColor="accent2"/>
          <w:bottom w:val="single" w:sz="4" w:space="0" w:color="2297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97AA" w:themeColor="accent2"/>
          <w:left w:val="nil"/>
        </w:tcBorders>
      </w:tcPr>
    </w:tblStylePr>
    <w:tblStylePr w:type="swCell">
      <w:tblPr/>
      <w:tcPr>
        <w:tcBorders>
          <w:top w:val="double" w:sz="4" w:space="0" w:color="2297AA" w:themeColor="accent2"/>
          <w:right w:val="nil"/>
        </w:tcBorders>
      </w:tcPr>
    </w:tblStylePr>
  </w:style>
  <w:style w:type="table" w:styleId="ListTable3-Accent3">
    <w:name w:val="List Table 3 Accent 3"/>
    <w:basedOn w:val="TableNormal"/>
    <w:uiPriority w:val="48"/>
    <w:unhideWhenUsed/>
    <w:rsid w:val="00DE2100"/>
    <w:pPr>
      <w:spacing w:line="240" w:lineRule="auto"/>
    </w:pPr>
    <w:tblPr>
      <w:tblStyleRowBandSize w:val="1"/>
      <w:tblStyleColBandSize w:val="1"/>
      <w:tblBorders>
        <w:top w:val="single" w:sz="4" w:space="0" w:color="37BA95" w:themeColor="accent3"/>
        <w:left w:val="single" w:sz="4" w:space="0" w:color="37BA95" w:themeColor="accent3"/>
        <w:bottom w:val="single" w:sz="4" w:space="0" w:color="37BA95" w:themeColor="accent3"/>
        <w:right w:val="single" w:sz="4" w:space="0" w:color="37BA95" w:themeColor="accent3"/>
      </w:tblBorders>
    </w:tblPr>
    <w:tblStylePr w:type="firstRow">
      <w:rPr>
        <w:b/>
        <w:bCs/>
        <w:color w:val="FFFFFF" w:themeColor="background1"/>
      </w:rPr>
      <w:tblPr/>
      <w:tcPr>
        <w:shd w:val="clear" w:color="auto" w:fill="37BA95" w:themeFill="accent3"/>
      </w:tcPr>
    </w:tblStylePr>
    <w:tblStylePr w:type="lastRow">
      <w:rPr>
        <w:b/>
        <w:bCs/>
      </w:rPr>
      <w:tblPr/>
      <w:tcPr>
        <w:tcBorders>
          <w:top w:val="double" w:sz="4" w:space="0" w:color="37BA9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A95" w:themeColor="accent3"/>
          <w:right w:val="single" w:sz="4" w:space="0" w:color="37BA95" w:themeColor="accent3"/>
        </w:tcBorders>
      </w:tcPr>
    </w:tblStylePr>
    <w:tblStylePr w:type="band1Horz">
      <w:tblPr/>
      <w:tcPr>
        <w:tcBorders>
          <w:top w:val="single" w:sz="4" w:space="0" w:color="37BA95" w:themeColor="accent3"/>
          <w:bottom w:val="single" w:sz="4" w:space="0" w:color="37BA9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A95" w:themeColor="accent3"/>
          <w:left w:val="nil"/>
        </w:tcBorders>
      </w:tcPr>
    </w:tblStylePr>
    <w:tblStylePr w:type="swCell">
      <w:tblPr/>
      <w:tcPr>
        <w:tcBorders>
          <w:top w:val="double" w:sz="4" w:space="0" w:color="37BA95" w:themeColor="accent3"/>
          <w:right w:val="nil"/>
        </w:tcBorders>
      </w:tcPr>
    </w:tblStylePr>
  </w:style>
  <w:style w:type="table" w:styleId="ListTable3-Accent4">
    <w:name w:val="List Table 3 Accent 4"/>
    <w:basedOn w:val="TableNormal"/>
    <w:uiPriority w:val="48"/>
    <w:unhideWhenUsed/>
    <w:rsid w:val="00DE2100"/>
    <w:pPr>
      <w:spacing w:line="240" w:lineRule="auto"/>
    </w:pPr>
    <w:tblPr>
      <w:tblStyleRowBandSize w:val="1"/>
      <w:tblStyleColBandSize w:val="1"/>
      <w:tblBorders>
        <w:top w:val="single" w:sz="4" w:space="0" w:color="F3BD48" w:themeColor="accent4"/>
        <w:left w:val="single" w:sz="4" w:space="0" w:color="F3BD48" w:themeColor="accent4"/>
        <w:bottom w:val="single" w:sz="4" w:space="0" w:color="F3BD48" w:themeColor="accent4"/>
        <w:right w:val="single" w:sz="4" w:space="0" w:color="F3BD48" w:themeColor="accent4"/>
      </w:tblBorders>
    </w:tblPr>
    <w:tblStylePr w:type="firstRow">
      <w:rPr>
        <w:b/>
        <w:bCs/>
        <w:color w:val="FFFFFF" w:themeColor="background1"/>
      </w:rPr>
      <w:tblPr/>
      <w:tcPr>
        <w:shd w:val="clear" w:color="auto" w:fill="F3BD48" w:themeFill="accent4"/>
      </w:tcPr>
    </w:tblStylePr>
    <w:tblStylePr w:type="lastRow">
      <w:rPr>
        <w:b/>
        <w:bCs/>
      </w:rPr>
      <w:tblPr/>
      <w:tcPr>
        <w:tcBorders>
          <w:top w:val="double" w:sz="4" w:space="0" w:color="F3BD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BD48" w:themeColor="accent4"/>
          <w:right w:val="single" w:sz="4" w:space="0" w:color="F3BD48" w:themeColor="accent4"/>
        </w:tcBorders>
      </w:tcPr>
    </w:tblStylePr>
    <w:tblStylePr w:type="band1Horz">
      <w:tblPr/>
      <w:tcPr>
        <w:tcBorders>
          <w:top w:val="single" w:sz="4" w:space="0" w:color="F3BD48" w:themeColor="accent4"/>
          <w:bottom w:val="single" w:sz="4" w:space="0" w:color="F3BD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BD48" w:themeColor="accent4"/>
          <w:left w:val="nil"/>
        </w:tcBorders>
      </w:tcPr>
    </w:tblStylePr>
    <w:tblStylePr w:type="swCell">
      <w:tblPr/>
      <w:tcPr>
        <w:tcBorders>
          <w:top w:val="double" w:sz="4" w:space="0" w:color="F3BD48" w:themeColor="accent4"/>
          <w:right w:val="nil"/>
        </w:tcBorders>
      </w:tcPr>
    </w:tblStylePr>
  </w:style>
  <w:style w:type="table" w:styleId="ListTable3-Accent5">
    <w:name w:val="List Table 3 Accent 5"/>
    <w:basedOn w:val="TableNormal"/>
    <w:uiPriority w:val="48"/>
    <w:unhideWhenUsed/>
    <w:rsid w:val="00DE2100"/>
    <w:pPr>
      <w:spacing w:line="240" w:lineRule="auto"/>
    </w:pPr>
    <w:tblPr>
      <w:tblStyleRowBandSize w:val="1"/>
      <w:tblStyleColBandSize w:val="1"/>
      <w:tblBorders>
        <w:top w:val="single" w:sz="4" w:space="0" w:color="F26A25" w:themeColor="accent5"/>
        <w:left w:val="single" w:sz="4" w:space="0" w:color="F26A25" w:themeColor="accent5"/>
        <w:bottom w:val="single" w:sz="4" w:space="0" w:color="F26A25" w:themeColor="accent5"/>
        <w:right w:val="single" w:sz="4" w:space="0" w:color="F26A25" w:themeColor="accent5"/>
      </w:tblBorders>
    </w:tblPr>
    <w:tblStylePr w:type="firstRow">
      <w:rPr>
        <w:b/>
        <w:bCs/>
        <w:color w:val="FFFFFF" w:themeColor="background1"/>
      </w:rPr>
      <w:tblPr/>
      <w:tcPr>
        <w:shd w:val="clear" w:color="auto" w:fill="F26A25" w:themeFill="accent5"/>
      </w:tcPr>
    </w:tblStylePr>
    <w:tblStylePr w:type="lastRow">
      <w:rPr>
        <w:b/>
        <w:bCs/>
      </w:rPr>
      <w:tblPr/>
      <w:tcPr>
        <w:tcBorders>
          <w:top w:val="double" w:sz="4" w:space="0" w:color="F26A2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A25" w:themeColor="accent5"/>
          <w:right w:val="single" w:sz="4" w:space="0" w:color="F26A25" w:themeColor="accent5"/>
        </w:tcBorders>
      </w:tcPr>
    </w:tblStylePr>
    <w:tblStylePr w:type="band1Horz">
      <w:tblPr/>
      <w:tcPr>
        <w:tcBorders>
          <w:top w:val="single" w:sz="4" w:space="0" w:color="F26A25" w:themeColor="accent5"/>
          <w:bottom w:val="single" w:sz="4" w:space="0" w:color="F26A2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A25" w:themeColor="accent5"/>
          <w:left w:val="nil"/>
        </w:tcBorders>
      </w:tcPr>
    </w:tblStylePr>
    <w:tblStylePr w:type="swCell">
      <w:tblPr/>
      <w:tcPr>
        <w:tcBorders>
          <w:top w:val="double" w:sz="4" w:space="0" w:color="F26A25" w:themeColor="accent5"/>
          <w:right w:val="nil"/>
        </w:tcBorders>
      </w:tcPr>
    </w:tblStylePr>
  </w:style>
  <w:style w:type="table" w:styleId="ListTable3-Accent6">
    <w:name w:val="List Table 3 Accent 6"/>
    <w:basedOn w:val="TableNormal"/>
    <w:uiPriority w:val="48"/>
    <w:unhideWhenUsed/>
    <w:rsid w:val="00DE2100"/>
    <w:pPr>
      <w:spacing w:line="240" w:lineRule="auto"/>
    </w:pPr>
    <w:tblPr>
      <w:tblStyleRowBandSize w:val="1"/>
      <w:tblStyleColBandSize w:val="1"/>
      <w:tblBorders>
        <w:top w:val="single" w:sz="4" w:space="0" w:color="CD3E71" w:themeColor="accent6"/>
        <w:left w:val="single" w:sz="4" w:space="0" w:color="CD3E71" w:themeColor="accent6"/>
        <w:bottom w:val="single" w:sz="4" w:space="0" w:color="CD3E71" w:themeColor="accent6"/>
        <w:right w:val="single" w:sz="4" w:space="0" w:color="CD3E71" w:themeColor="accent6"/>
      </w:tblBorders>
    </w:tblPr>
    <w:tblStylePr w:type="firstRow">
      <w:rPr>
        <w:b/>
        <w:bCs/>
        <w:color w:val="FFFFFF" w:themeColor="background1"/>
      </w:rPr>
      <w:tblPr/>
      <w:tcPr>
        <w:shd w:val="clear" w:color="auto" w:fill="CD3E71" w:themeFill="accent6"/>
      </w:tcPr>
    </w:tblStylePr>
    <w:tblStylePr w:type="lastRow">
      <w:rPr>
        <w:b/>
        <w:bCs/>
      </w:rPr>
      <w:tblPr/>
      <w:tcPr>
        <w:tcBorders>
          <w:top w:val="double" w:sz="4" w:space="0" w:color="CD3E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3E71" w:themeColor="accent6"/>
          <w:right w:val="single" w:sz="4" w:space="0" w:color="CD3E71" w:themeColor="accent6"/>
        </w:tcBorders>
      </w:tcPr>
    </w:tblStylePr>
    <w:tblStylePr w:type="band1Horz">
      <w:tblPr/>
      <w:tcPr>
        <w:tcBorders>
          <w:top w:val="single" w:sz="4" w:space="0" w:color="CD3E71" w:themeColor="accent6"/>
          <w:bottom w:val="single" w:sz="4" w:space="0" w:color="CD3E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3E71" w:themeColor="accent6"/>
          <w:left w:val="nil"/>
        </w:tcBorders>
      </w:tcPr>
    </w:tblStylePr>
    <w:tblStylePr w:type="swCell">
      <w:tblPr/>
      <w:tcPr>
        <w:tcBorders>
          <w:top w:val="double" w:sz="4" w:space="0" w:color="CD3E71" w:themeColor="accent6"/>
          <w:right w:val="nil"/>
        </w:tcBorders>
      </w:tcPr>
    </w:tblStylePr>
  </w:style>
  <w:style w:type="table" w:styleId="ListTable4">
    <w:name w:val="List Table 4"/>
    <w:basedOn w:val="TableNormal"/>
    <w:uiPriority w:val="49"/>
    <w:unhideWhenUsed/>
    <w:rsid w:val="00DE210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DE2100"/>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tblBorders>
    </w:tblPr>
    <w:tblStylePr w:type="firstRow">
      <w:rPr>
        <w:b/>
        <w:bCs/>
        <w:color w:val="FFFFFF" w:themeColor="background1"/>
      </w:rPr>
      <w:tblPr/>
      <w:tcPr>
        <w:tcBorders>
          <w:top w:val="single" w:sz="4" w:space="0" w:color="1B3D6F" w:themeColor="accent1"/>
          <w:left w:val="single" w:sz="4" w:space="0" w:color="1B3D6F" w:themeColor="accent1"/>
          <w:bottom w:val="single" w:sz="4" w:space="0" w:color="1B3D6F" w:themeColor="accent1"/>
          <w:right w:val="single" w:sz="4" w:space="0" w:color="1B3D6F" w:themeColor="accent1"/>
          <w:insideH w:val="nil"/>
        </w:tcBorders>
        <w:shd w:val="clear" w:color="auto" w:fill="1B3D6F" w:themeFill="accent1"/>
      </w:tcPr>
    </w:tblStylePr>
    <w:tblStylePr w:type="lastRow">
      <w:rPr>
        <w:b/>
        <w:bCs/>
      </w:rPr>
      <w:tblPr/>
      <w:tcPr>
        <w:tcBorders>
          <w:top w:val="doub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4-Accent3">
    <w:name w:val="List Table 4 Accent 3"/>
    <w:basedOn w:val="TableNormal"/>
    <w:uiPriority w:val="49"/>
    <w:unhideWhenUsed/>
    <w:rsid w:val="00DE2100"/>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tblBorders>
    </w:tblPr>
    <w:tblStylePr w:type="firstRow">
      <w:rPr>
        <w:b/>
        <w:bCs/>
        <w:color w:val="FFFFFF" w:themeColor="background1"/>
      </w:rPr>
      <w:tblPr/>
      <w:tcPr>
        <w:tcBorders>
          <w:top w:val="single" w:sz="4" w:space="0" w:color="37BA95" w:themeColor="accent3"/>
          <w:left w:val="single" w:sz="4" w:space="0" w:color="37BA95" w:themeColor="accent3"/>
          <w:bottom w:val="single" w:sz="4" w:space="0" w:color="37BA95" w:themeColor="accent3"/>
          <w:right w:val="single" w:sz="4" w:space="0" w:color="37BA95" w:themeColor="accent3"/>
          <w:insideH w:val="nil"/>
        </w:tcBorders>
        <w:shd w:val="clear" w:color="auto" w:fill="37BA95" w:themeFill="accent3"/>
      </w:tcPr>
    </w:tblStylePr>
    <w:tblStylePr w:type="lastRow">
      <w:rPr>
        <w:b/>
        <w:bCs/>
      </w:rPr>
      <w:tblPr/>
      <w:tcPr>
        <w:tcBorders>
          <w:top w:val="doub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4-Accent4">
    <w:name w:val="List Table 4 Accent 4"/>
    <w:basedOn w:val="TableNormal"/>
    <w:uiPriority w:val="49"/>
    <w:unhideWhenUsed/>
    <w:rsid w:val="00DE2100"/>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tblBorders>
    </w:tblPr>
    <w:tblStylePr w:type="firstRow">
      <w:rPr>
        <w:b/>
        <w:bCs/>
        <w:color w:val="FFFFFF" w:themeColor="background1"/>
      </w:rPr>
      <w:tblPr/>
      <w:tcPr>
        <w:tcBorders>
          <w:top w:val="single" w:sz="4" w:space="0" w:color="F3BD48" w:themeColor="accent4"/>
          <w:left w:val="single" w:sz="4" w:space="0" w:color="F3BD48" w:themeColor="accent4"/>
          <w:bottom w:val="single" w:sz="4" w:space="0" w:color="F3BD48" w:themeColor="accent4"/>
          <w:right w:val="single" w:sz="4" w:space="0" w:color="F3BD48" w:themeColor="accent4"/>
          <w:insideH w:val="nil"/>
        </w:tcBorders>
        <w:shd w:val="clear" w:color="auto" w:fill="F3BD48" w:themeFill="accent4"/>
      </w:tcPr>
    </w:tblStylePr>
    <w:tblStylePr w:type="lastRow">
      <w:rPr>
        <w:b/>
        <w:bCs/>
      </w:rPr>
      <w:tblPr/>
      <w:tcPr>
        <w:tcBorders>
          <w:top w:val="doub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4-Accent5">
    <w:name w:val="List Table 4 Accent 5"/>
    <w:basedOn w:val="TableNormal"/>
    <w:uiPriority w:val="49"/>
    <w:unhideWhenUsed/>
    <w:rsid w:val="00DE2100"/>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tblBorders>
    </w:tblPr>
    <w:tblStylePr w:type="firstRow">
      <w:rPr>
        <w:b/>
        <w:bCs/>
        <w:color w:val="FFFFFF" w:themeColor="background1"/>
      </w:rPr>
      <w:tblPr/>
      <w:tcPr>
        <w:tcBorders>
          <w:top w:val="single" w:sz="4" w:space="0" w:color="F26A25" w:themeColor="accent5"/>
          <w:left w:val="single" w:sz="4" w:space="0" w:color="F26A25" w:themeColor="accent5"/>
          <w:bottom w:val="single" w:sz="4" w:space="0" w:color="F26A25" w:themeColor="accent5"/>
          <w:right w:val="single" w:sz="4" w:space="0" w:color="F26A25" w:themeColor="accent5"/>
          <w:insideH w:val="nil"/>
        </w:tcBorders>
        <w:shd w:val="clear" w:color="auto" w:fill="F26A25" w:themeFill="accent5"/>
      </w:tcPr>
    </w:tblStylePr>
    <w:tblStylePr w:type="lastRow">
      <w:rPr>
        <w:b/>
        <w:bCs/>
      </w:rPr>
      <w:tblPr/>
      <w:tcPr>
        <w:tcBorders>
          <w:top w:val="doub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4-Accent6">
    <w:name w:val="List Table 4 Accent 6"/>
    <w:basedOn w:val="TableNormal"/>
    <w:uiPriority w:val="49"/>
    <w:unhideWhenUsed/>
    <w:rsid w:val="00DE2100"/>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tblBorders>
    </w:tblPr>
    <w:tblStylePr w:type="firstRow">
      <w:rPr>
        <w:b/>
        <w:bCs/>
        <w:color w:val="FFFFFF" w:themeColor="background1"/>
      </w:rPr>
      <w:tblPr/>
      <w:tcPr>
        <w:tcBorders>
          <w:top w:val="single" w:sz="4" w:space="0" w:color="CD3E71" w:themeColor="accent6"/>
          <w:left w:val="single" w:sz="4" w:space="0" w:color="CD3E71" w:themeColor="accent6"/>
          <w:bottom w:val="single" w:sz="4" w:space="0" w:color="CD3E71" w:themeColor="accent6"/>
          <w:right w:val="single" w:sz="4" w:space="0" w:color="CD3E71" w:themeColor="accent6"/>
          <w:insideH w:val="nil"/>
        </w:tcBorders>
        <w:shd w:val="clear" w:color="auto" w:fill="CD3E71" w:themeFill="accent6"/>
      </w:tcPr>
    </w:tblStylePr>
    <w:tblStylePr w:type="lastRow">
      <w:rPr>
        <w:b/>
        <w:bCs/>
      </w:rPr>
      <w:tblPr/>
      <w:tcPr>
        <w:tcBorders>
          <w:top w:val="doub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5Dark">
    <w:name w:val="List Table 5 Dark"/>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1B3D6F" w:themeColor="accent1"/>
        <w:left w:val="single" w:sz="24" w:space="0" w:color="1B3D6F" w:themeColor="accent1"/>
        <w:bottom w:val="single" w:sz="24" w:space="0" w:color="1B3D6F" w:themeColor="accent1"/>
        <w:right w:val="single" w:sz="24" w:space="0" w:color="1B3D6F" w:themeColor="accent1"/>
      </w:tblBorders>
    </w:tblPr>
    <w:tcPr>
      <w:shd w:val="clear" w:color="auto" w:fill="1B3D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2297AA" w:themeColor="accent2"/>
        <w:left w:val="single" w:sz="24" w:space="0" w:color="2297AA" w:themeColor="accent2"/>
        <w:bottom w:val="single" w:sz="24" w:space="0" w:color="2297AA" w:themeColor="accent2"/>
        <w:right w:val="single" w:sz="24" w:space="0" w:color="2297AA" w:themeColor="accent2"/>
      </w:tblBorders>
    </w:tblPr>
    <w:tcPr>
      <w:shd w:val="clear" w:color="auto" w:fill="2297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37BA95" w:themeColor="accent3"/>
        <w:left w:val="single" w:sz="24" w:space="0" w:color="37BA95" w:themeColor="accent3"/>
        <w:bottom w:val="single" w:sz="24" w:space="0" w:color="37BA95" w:themeColor="accent3"/>
        <w:right w:val="single" w:sz="24" w:space="0" w:color="37BA95" w:themeColor="accent3"/>
      </w:tblBorders>
    </w:tblPr>
    <w:tcPr>
      <w:shd w:val="clear" w:color="auto" w:fill="37BA9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F3BD48" w:themeColor="accent4"/>
        <w:left w:val="single" w:sz="24" w:space="0" w:color="F3BD48" w:themeColor="accent4"/>
        <w:bottom w:val="single" w:sz="24" w:space="0" w:color="F3BD48" w:themeColor="accent4"/>
        <w:right w:val="single" w:sz="24" w:space="0" w:color="F3BD48" w:themeColor="accent4"/>
      </w:tblBorders>
    </w:tblPr>
    <w:tcPr>
      <w:shd w:val="clear" w:color="auto" w:fill="F3BD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F26A25" w:themeColor="accent5"/>
        <w:left w:val="single" w:sz="24" w:space="0" w:color="F26A25" w:themeColor="accent5"/>
        <w:bottom w:val="single" w:sz="24" w:space="0" w:color="F26A25" w:themeColor="accent5"/>
        <w:right w:val="single" w:sz="24" w:space="0" w:color="F26A25" w:themeColor="accent5"/>
      </w:tblBorders>
    </w:tblPr>
    <w:tcPr>
      <w:shd w:val="clear" w:color="auto" w:fill="F26A2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DE2100"/>
    <w:pPr>
      <w:spacing w:line="240" w:lineRule="auto"/>
    </w:pPr>
    <w:rPr>
      <w:color w:val="FFFFFF" w:themeColor="background1"/>
    </w:rPr>
    <w:tblPr>
      <w:tblStyleRowBandSize w:val="1"/>
      <w:tblStyleColBandSize w:val="1"/>
      <w:tblBorders>
        <w:top w:val="single" w:sz="24" w:space="0" w:color="CD3E71" w:themeColor="accent6"/>
        <w:left w:val="single" w:sz="24" w:space="0" w:color="CD3E71" w:themeColor="accent6"/>
        <w:bottom w:val="single" w:sz="24" w:space="0" w:color="CD3E71" w:themeColor="accent6"/>
        <w:right w:val="single" w:sz="24" w:space="0" w:color="CD3E71" w:themeColor="accent6"/>
      </w:tblBorders>
    </w:tblPr>
    <w:tcPr>
      <w:shd w:val="clear" w:color="auto" w:fill="CD3E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DE210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DE2100"/>
    <w:pPr>
      <w:spacing w:line="240" w:lineRule="auto"/>
    </w:pPr>
    <w:rPr>
      <w:color w:val="142D53" w:themeColor="accent1" w:themeShade="BF"/>
    </w:rPr>
    <w:tblPr>
      <w:tblStyleRowBandSize w:val="1"/>
      <w:tblStyleColBandSize w:val="1"/>
      <w:tblBorders>
        <w:top w:val="single" w:sz="4" w:space="0" w:color="1B3D6F" w:themeColor="accent1"/>
        <w:bottom w:val="single" w:sz="4" w:space="0" w:color="1B3D6F" w:themeColor="accent1"/>
      </w:tblBorders>
    </w:tblPr>
    <w:tblStylePr w:type="firstRow">
      <w:rPr>
        <w:b/>
        <w:bCs/>
      </w:rPr>
      <w:tblPr/>
      <w:tcPr>
        <w:tcBorders>
          <w:bottom w:val="single" w:sz="4" w:space="0" w:color="1B3D6F" w:themeColor="accent1"/>
        </w:tcBorders>
      </w:tcPr>
    </w:tblStylePr>
    <w:tblStylePr w:type="lastRow">
      <w:rPr>
        <w:b/>
        <w:bCs/>
      </w:rPr>
      <w:tblPr/>
      <w:tcPr>
        <w:tcBorders>
          <w:top w:val="double" w:sz="4" w:space="0" w:color="1B3D6F" w:themeColor="accent1"/>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6Colorful-Accent2">
    <w:name w:val="List Table 6 Colorful Accent 2"/>
    <w:basedOn w:val="TableNormal"/>
    <w:uiPriority w:val="51"/>
    <w:unhideWhenUsed/>
    <w:rsid w:val="00DE2100"/>
    <w:pPr>
      <w:spacing w:line="240" w:lineRule="auto"/>
    </w:pPr>
    <w:rPr>
      <w:color w:val="19707F" w:themeColor="accent2" w:themeShade="BF"/>
    </w:rPr>
    <w:tblPr>
      <w:tblStyleRowBandSize w:val="1"/>
      <w:tblStyleColBandSize w:val="1"/>
      <w:tblBorders>
        <w:top w:val="single" w:sz="4" w:space="0" w:color="2297AA" w:themeColor="accent2"/>
        <w:bottom w:val="single" w:sz="4" w:space="0" w:color="2297AA" w:themeColor="accent2"/>
      </w:tblBorders>
    </w:tblPr>
    <w:tblStylePr w:type="firstRow">
      <w:rPr>
        <w:b/>
        <w:bCs/>
      </w:rPr>
      <w:tblPr/>
      <w:tcPr>
        <w:tcBorders>
          <w:bottom w:val="single" w:sz="4" w:space="0" w:color="2297AA" w:themeColor="accent2"/>
        </w:tcBorders>
      </w:tcPr>
    </w:tblStylePr>
    <w:tblStylePr w:type="lastRow">
      <w:rPr>
        <w:b/>
        <w:bCs/>
      </w:rPr>
      <w:tblPr/>
      <w:tcPr>
        <w:tcBorders>
          <w:top w:val="double" w:sz="4" w:space="0" w:color="2297AA" w:themeColor="accent2"/>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6Colorful-Accent3">
    <w:name w:val="List Table 6 Colorful Accent 3"/>
    <w:basedOn w:val="TableNormal"/>
    <w:uiPriority w:val="51"/>
    <w:unhideWhenUsed/>
    <w:rsid w:val="00DE2100"/>
    <w:pPr>
      <w:spacing w:line="240" w:lineRule="auto"/>
    </w:pPr>
    <w:rPr>
      <w:color w:val="298B6F" w:themeColor="accent3" w:themeShade="BF"/>
    </w:rPr>
    <w:tblPr>
      <w:tblStyleRowBandSize w:val="1"/>
      <w:tblStyleColBandSize w:val="1"/>
      <w:tblBorders>
        <w:top w:val="single" w:sz="4" w:space="0" w:color="37BA95" w:themeColor="accent3"/>
        <w:bottom w:val="single" w:sz="4" w:space="0" w:color="37BA95" w:themeColor="accent3"/>
      </w:tblBorders>
    </w:tblPr>
    <w:tblStylePr w:type="firstRow">
      <w:rPr>
        <w:b/>
        <w:bCs/>
      </w:rPr>
      <w:tblPr/>
      <w:tcPr>
        <w:tcBorders>
          <w:bottom w:val="single" w:sz="4" w:space="0" w:color="37BA95" w:themeColor="accent3"/>
        </w:tcBorders>
      </w:tcPr>
    </w:tblStylePr>
    <w:tblStylePr w:type="lastRow">
      <w:rPr>
        <w:b/>
        <w:bCs/>
      </w:rPr>
      <w:tblPr/>
      <w:tcPr>
        <w:tcBorders>
          <w:top w:val="double" w:sz="4" w:space="0" w:color="37BA95" w:themeColor="accent3"/>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6Colorful-Accent4">
    <w:name w:val="List Table 6 Colorful Accent 4"/>
    <w:basedOn w:val="TableNormal"/>
    <w:uiPriority w:val="51"/>
    <w:unhideWhenUsed/>
    <w:rsid w:val="00DE2100"/>
    <w:pPr>
      <w:spacing w:line="240" w:lineRule="auto"/>
    </w:pPr>
    <w:rPr>
      <w:color w:val="DD9B0E" w:themeColor="accent4" w:themeShade="BF"/>
    </w:rPr>
    <w:tblPr>
      <w:tblStyleRowBandSize w:val="1"/>
      <w:tblStyleColBandSize w:val="1"/>
      <w:tblBorders>
        <w:top w:val="single" w:sz="4" w:space="0" w:color="F3BD48" w:themeColor="accent4"/>
        <w:bottom w:val="single" w:sz="4" w:space="0" w:color="F3BD48" w:themeColor="accent4"/>
      </w:tblBorders>
    </w:tblPr>
    <w:tblStylePr w:type="firstRow">
      <w:rPr>
        <w:b/>
        <w:bCs/>
      </w:rPr>
      <w:tblPr/>
      <w:tcPr>
        <w:tcBorders>
          <w:bottom w:val="single" w:sz="4" w:space="0" w:color="F3BD48" w:themeColor="accent4"/>
        </w:tcBorders>
      </w:tcPr>
    </w:tblStylePr>
    <w:tblStylePr w:type="lastRow">
      <w:rPr>
        <w:b/>
        <w:bCs/>
      </w:rPr>
      <w:tblPr/>
      <w:tcPr>
        <w:tcBorders>
          <w:top w:val="double" w:sz="4" w:space="0" w:color="F3BD48" w:themeColor="accent4"/>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6Colorful-Accent5">
    <w:name w:val="List Table 6 Colorful Accent 5"/>
    <w:basedOn w:val="TableNormal"/>
    <w:uiPriority w:val="51"/>
    <w:unhideWhenUsed/>
    <w:rsid w:val="00DE2100"/>
    <w:pPr>
      <w:spacing w:line="240" w:lineRule="auto"/>
    </w:pPr>
    <w:rPr>
      <w:color w:val="C4490B" w:themeColor="accent5" w:themeShade="BF"/>
    </w:rPr>
    <w:tblPr>
      <w:tblStyleRowBandSize w:val="1"/>
      <w:tblStyleColBandSize w:val="1"/>
      <w:tblBorders>
        <w:top w:val="single" w:sz="4" w:space="0" w:color="F26A25" w:themeColor="accent5"/>
        <w:bottom w:val="single" w:sz="4" w:space="0" w:color="F26A25" w:themeColor="accent5"/>
      </w:tblBorders>
    </w:tblPr>
    <w:tblStylePr w:type="firstRow">
      <w:rPr>
        <w:b/>
        <w:bCs/>
      </w:rPr>
      <w:tblPr/>
      <w:tcPr>
        <w:tcBorders>
          <w:bottom w:val="single" w:sz="4" w:space="0" w:color="F26A25" w:themeColor="accent5"/>
        </w:tcBorders>
      </w:tcPr>
    </w:tblStylePr>
    <w:tblStylePr w:type="lastRow">
      <w:rPr>
        <w:b/>
        <w:bCs/>
      </w:rPr>
      <w:tblPr/>
      <w:tcPr>
        <w:tcBorders>
          <w:top w:val="double" w:sz="4" w:space="0" w:color="F26A25" w:themeColor="accent5"/>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6Colorful-Accent6">
    <w:name w:val="List Table 6 Colorful Accent 6"/>
    <w:basedOn w:val="TableNormal"/>
    <w:uiPriority w:val="51"/>
    <w:unhideWhenUsed/>
    <w:rsid w:val="00DE2100"/>
    <w:pPr>
      <w:spacing w:line="240" w:lineRule="auto"/>
    </w:pPr>
    <w:rPr>
      <w:color w:val="9E2952" w:themeColor="accent6" w:themeShade="BF"/>
    </w:rPr>
    <w:tblPr>
      <w:tblStyleRowBandSize w:val="1"/>
      <w:tblStyleColBandSize w:val="1"/>
      <w:tblBorders>
        <w:top w:val="single" w:sz="4" w:space="0" w:color="CD3E71" w:themeColor="accent6"/>
        <w:bottom w:val="single" w:sz="4" w:space="0" w:color="CD3E71" w:themeColor="accent6"/>
      </w:tblBorders>
    </w:tblPr>
    <w:tblStylePr w:type="firstRow">
      <w:rPr>
        <w:b/>
        <w:bCs/>
      </w:rPr>
      <w:tblPr/>
      <w:tcPr>
        <w:tcBorders>
          <w:bottom w:val="single" w:sz="4" w:space="0" w:color="CD3E71" w:themeColor="accent6"/>
        </w:tcBorders>
      </w:tcPr>
    </w:tblStylePr>
    <w:tblStylePr w:type="lastRow">
      <w:rPr>
        <w:b/>
        <w:bCs/>
      </w:rPr>
      <w:tblPr/>
      <w:tcPr>
        <w:tcBorders>
          <w:top w:val="double" w:sz="4" w:space="0" w:color="CD3E71" w:themeColor="accent6"/>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7Colorful">
    <w:name w:val="List Table 7 Colorful"/>
    <w:basedOn w:val="TableNormal"/>
    <w:uiPriority w:val="52"/>
    <w:unhideWhenUsed/>
    <w:rsid w:val="00DE210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DE2100"/>
    <w:pPr>
      <w:spacing w:line="240" w:lineRule="auto"/>
    </w:pPr>
    <w:rPr>
      <w:color w:val="142D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3D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3D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3D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3D6F" w:themeColor="accent1"/>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DE2100"/>
    <w:pPr>
      <w:spacing w:line="240" w:lineRule="auto"/>
    </w:pPr>
    <w:rPr>
      <w:color w:val="19707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97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97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97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97AA" w:themeColor="accent2"/>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DE2100"/>
    <w:pPr>
      <w:spacing w:line="240" w:lineRule="auto"/>
    </w:pPr>
    <w:rPr>
      <w:color w:val="298B6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A9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A9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A9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A95" w:themeColor="accent3"/>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DE2100"/>
    <w:pPr>
      <w:spacing w:line="240" w:lineRule="auto"/>
    </w:pPr>
    <w:rPr>
      <w:color w:val="DD9B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BD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BD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BD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BD48" w:themeColor="accent4"/>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DE2100"/>
    <w:pPr>
      <w:spacing w:line="240" w:lineRule="auto"/>
    </w:pPr>
    <w:rPr>
      <w:color w:val="C449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A2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A2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A2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A25" w:themeColor="accent5"/>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DE2100"/>
    <w:pPr>
      <w:spacing w:line="240" w:lineRule="auto"/>
    </w:pPr>
    <w:rPr>
      <w:color w:val="9E295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3E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3E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3E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3E71" w:themeColor="accent6"/>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E210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E2100"/>
    <w:rPr>
      <w:rFonts w:ascii="Consolas" w:hAnsi="Consolas"/>
      <w:sz w:val="20"/>
      <w:szCs w:val="20"/>
    </w:rPr>
  </w:style>
  <w:style w:type="table" w:styleId="MediumGrid1">
    <w:name w:val="Medium Grid 1"/>
    <w:basedOn w:val="TableNormal"/>
    <w:uiPriority w:val="67"/>
    <w:semiHidden/>
    <w:unhideWhenUsed/>
    <w:rsid w:val="00DE210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2100"/>
    <w:pPr>
      <w:spacing w:line="240" w:lineRule="auto"/>
    </w:pPr>
    <w:tblPr>
      <w:tblStyleRowBandSize w:val="1"/>
      <w:tblStyleColBandSize w:val="1"/>
      <w:tbl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single" w:sz="8" w:space="0" w:color="2D66BA" w:themeColor="accent1" w:themeTint="BF"/>
        <w:insideV w:val="single" w:sz="8" w:space="0" w:color="2D66BA" w:themeColor="accent1" w:themeTint="BF"/>
      </w:tblBorders>
    </w:tblPr>
    <w:tcPr>
      <w:shd w:val="clear" w:color="auto" w:fill="B5CBED" w:themeFill="accent1" w:themeFillTint="3F"/>
    </w:tcPr>
    <w:tblStylePr w:type="firstRow">
      <w:rPr>
        <w:b/>
        <w:bCs/>
      </w:rPr>
    </w:tblStylePr>
    <w:tblStylePr w:type="lastRow">
      <w:rPr>
        <w:b/>
        <w:bCs/>
      </w:rPr>
      <w:tblPr/>
      <w:tcPr>
        <w:tcBorders>
          <w:top w:val="single" w:sz="18" w:space="0" w:color="2D66BA" w:themeColor="accent1" w:themeTint="BF"/>
        </w:tcBorders>
      </w:tcPr>
    </w:tblStylePr>
    <w:tblStylePr w:type="firstCol">
      <w:rPr>
        <w:b/>
        <w:bCs/>
      </w:rPr>
    </w:tblStylePr>
    <w:tblStylePr w:type="lastCol">
      <w:rPr>
        <w:b/>
        <w:bCs/>
      </w:rPr>
    </w:tblStylePr>
    <w:tblStylePr w:type="band1Vert">
      <w:tblPr/>
      <w:tcPr>
        <w:shd w:val="clear" w:color="auto" w:fill="6997DA" w:themeFill="accent1" w:themeFillTint="7F"/>
      </w:tcPr>
    </w:tblStylePr>
    <w:tblStylePr w:type="band1Horz">
      <w:tblPr/>
      <w:tcPr>
        <w:shd w:val="clear" w:color="auto" w:fill="6997DA" w:themeFill="accent1" w:themeFillTint="7F"/>
      </w:tcPr>
    </w:tblStylePr>
  </w:style>
  <w:style w:type="table" w:styleId="MediumGrid1-Accent2">
    <w:name w:val="Medium Grid 1 Accent 2"/>
    <w:basedOn w:val="TableNormal"/>
    <w:uiPriority w:val="67"/>
    <w:semiHidden/>
    <w:unhideWhenUsed/>
    <w:rsid w:val="00DE2100"/>
    <w:pPr>
      <w:spacing w:line="240" w:lineRule="auto"/>
    </w:pPr>
    <w:tblPr>
      <w:tblStyleRowBandSize w:val="1"/>
      <w:tblStyleColBandSize w:val="1"/>
      <w:tbl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single" w:sz="8" w:space="0" w:color="3FC3D8" w:themeColor="accent2" w:themeTint="BF"/>
        <w:insideV w:val="single" w:sz="8" w:space="0" w:color="3FC3D8" w:themeColor="accent2" w:themeTint="BF"/>
      </w:tblBorders>
    </w:tblPr>
    <w:tcPr>
      <w:shd w:val="clear" w:color="auto" w:fill="BFEBF2" w:themeFill="accent2" w:themeFillTint="3F"/>
    </w:tcPr>
    <w:tblStylePr w:type="firstRow">
      <w:rPr>
        <w:b/>
        <w:bCs/>
      </w:rPr>
    </w:tblStylePr>
    <w:tblStylePr w:type="lastRow">
      <w:rPr>
        <w:b/>
        <w:bCs/>
      </w:rPr>
      <w:tblPr/>
      <w:tcPr>
        <w:tcBorders>
          <w:top w:val="single" w:sz="18" w:space="0" w:color="3FC3D8" w:themeColor="accent2" w:themeTint="BF"/>
        </w:tcBorders>
      </w:tcPr>
    </w:tblStylePr>
    <w:tblStylePr w:type="firstCol">
      <w:rPr>
        <w:b/>
        <w:bCs/>
      </w:rPr>
    </w:tblStylePr>
    <w:tblStylePr w:type="lastCol">
      <w:rPr>
        <w:b/>
        <w:bCs/>
      </w:rPr>
    </w:tblStylePr>
    <w:tblStylePr w:type="band1Vert">
      <w:tblPr/>
      <w:tcPr>
        <w:shd w:val="clear" w:color="auto" w:fill="7FD7E5" w:themeFill="accent2" w:themeFillTint="7F"/>
      </w:tcPr>
    </w:tblStylePr>
    <w:tblStylePr w:type="band1Horz">
      <w:tblPr/>
      <w:tcPr>
        <w:shd w:val="clear" w:color="auto" w:fill="7FD7E5" w:themeFill="accent2" w:themeFillTint="7F"/>
      </w:tcPr>
    </w:tblStylePr>
  </w:style>
  <w:style w:type="table" w:styleId="MediumGrid1-Accent3">
    <w:name w:val="Medium Grid 1 Accent 3"/>
    <w:basedOn w:val="TableNormal"/>
    <w:uiPriority w:val="67"/>
    <w:semiHidden/>
    <w:unhideWhenUsed/>
    <w:rsid w:val="00DE2100"/>
    <w:pPr>
      <w:spacing w:line="240" w:lineRule="auto"/>
    </w:pPr>
    <w:tblPr>
      <w:tblStyleRowBandSize w:val="1"/>
      <w:tblStyleColBandSize w:val="1"/>
      <w:tbl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single" w:sz="8" w:space="0" w:color="63D1B1" w:themeColor="accent3" w:themeTint="BF"/>
        <w:insideV w:val="single" w:sz="8" w:space="0" w:color="63D1B1" w:themeColor="accent3" w:themeTint="BF"/>
      </w:tblBorders>
    </w:tblPr>
    <w:tcPr>
      <w:shd w:val="clear" w:color="auto" w:fill="CBEFE5" w:themeFill="accent3" w:themeFillTint="3F"/>
    </w:tcPr>
    <w:tblStylePr w:type="firstRow">
      <w:rPr>
        <w:b/>
        <w:bCs/>
      </w:rPr>
    </w:tblStylePr>
    <w:tblStylePr w:type="lastRow">
      <w:rPr>
        <w:b/>
        <w:bCs/>
      </w:rPr>
      <w:tblPr/>
      <w:tcPr>
        <w:tcBorders>
          <w:top w:val="single" w:sz="18" w:space="0" w:color="63D1B1" w:themeColor="accent3" w:themeTint="BF"/>
        </w:tcBorders>
      </w:tcPr>
    </w:tblStylePr>
    <w:tblStylePr w:type="firstCol">
      <w:rPr>
        <w:b/>
        <w:bCs/>
      </w:rPr>
    </w:tblStylePr>
    <w:tblStylePr w:type="lastCol">
      <w:rPr>
        <w:b/>
        <w:bCs/>
      </w:rPr>
    </w:tblStylePr>
    <w:tblStylePr w:type="band1Vert">
      <w:tblPr/>
      <w:tcPr>
        <w:shd w:val="clear" w:color="auto" w:fill="97E0CB" w:themeFill="accent3" w:themeFillTint="7F"/>
      </w:tcPr>
    </w:tblStylePr>
    <w:tblStylePr w:type="band1Horz">
      <w:tblPr/>
      <w:tcPr>
        <w:shd w:val="clear" w:color="auto" w:fill="97E0CB" w:themeFill="accent3" w:themeFillTint="7F"/>
      </w:tcPr>
    </w:tblStylePr>
  </w:style>
  <w:style w:type="table" w:styleId="MediumGrid1-Accent4">
    <w:name w:val="Medium Grid 1 Accent 4"/>
    <w:basedOn w:val="TableNormal"/>
    <w:uiPriority w:val="67"/>
    <w:semiHidden/>
    <w:unhideWhenUsed/>
    <w:rsid w:val="00DE2100"/>
    <w:pPr>
      <w:spacing w:line="240" w:lineRule="auto"/>
    </w:pPr>
    <w:tblPr>
      <w:tblStyleRowBandSize w:val="1"/>
      <w:tblStyleColBandSize w:val="1"/>
      <w:tbl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single" w:sz="8" w:space="0" w:color="F6CD75" w:themeColor="accent4" w:themeTint="BF"/>
        <w:insideV w:val="single" w:sz="8" w:space="0" w:color="F6CD75" w:themeColor="accent4" w:themeTint="BF"/>
      </w:tblBorders>
    </w:tblPr>
    <w:tcPr>
      <w:shd w:val="clear" w:color="auto" w:fill="FCEED1" w:themeFill="accent4" w:themeFillTint="3F"/>
    </w:tcPr>
    <w:tblStylePr w:type="firstRow">
      <w:rPr>
        <w:b/>
        <w:bCs/>
      </w:rPr>
    </w:tblStylePr>
    <w:tblStylePr w:type="lastRow">
      <w:rPr>
        <w:b/>
        <w:bCs/>
      </w:rPr>
      <w:tblPr/>
      <w:tcPr>
        <w:tcBorders>
          <w:top w:val="single" w:sz="18" w:space="0" w:color="F6CD75" w:themeColor="accent4" w:themeTint="BF"/>
        </w:tcBorders>
      </w:tcPr>
    </w:tblStylePr>
    <w:tblStylePr w:type="firstCol">
      <w:rPr>
        <w:b/>
        <w:bCs/>
      </w:rPr>
    </w:tblStylePr>
    <w:tblStylePr w:type="lastCol">
      <w:rPr>
        <w:b/>
        <w:bCs/>
      </w:rPr>
    </w:tblStylePr>
    <w:tblStylePr w:type="band1Vert">
      <w:tblPr/>
      <w:tcPr>
        <w:shd w:val="clear" w:color="auto" w:fill="F9DDA3" w:themeFill="accent4" w:themeFillTint="7F"/>
      </w:tcPr>
    </w:tblStylePr>
    <w:tblStylePr w:type="band1Horz">
      <w:tblPr/>
      <w:tcPr>
        <w:shd w:val="clear" w:color="auto" w:fill="F9DDA3" w:themeFill="accent4" w:themeFillTint="7F"/>
      </w:tcPr>
    </w:tblStylePr>
  </w:style>
  <w:style w:type="table" w:styleId="MediumGrid1-Accent5">
    <w:name w:val="Medium Grid 1 Accent 5"/>
    <w:basedOn w:val="TableNormal"/>
    <w:uiPriority w:val="67"/>
    <w:semiHidden/>
    <w:unhideWhenUsed/>
    <w:rsid w:val="00DE2100"/>
    <w:pPr>
      <w:spacing w:line="240" w:lineRule="auto"/>
    </w:pPr>
    <w:tblPr>
      <w:tblStyleRowBandSize w:val="1"/>
      <w:tblStyleColBandSize w:val="1"/>
      <w:tbl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single" w:sz="8" w:space="0" w:color="F58E5B" w:themeColor="accent5" w:themeTint="BF"/>
        <w:insideV w:val="single" w:sz="8" w:space="0" w:color="F58E5B" w:themeColor="accent5" w:themeTint="BF"/>
      </w:tblBorders>
    </w:tblPr>
    <w:tcPr>
      <w:shd w:val="clear" w:color="auto" w:fill="FBD9C8" w:themeFill="accent5" w:themeFillTint="3F"/>
    </w:tcPr>
    <w:tblStylePr w:type="firstRow">
      <w:rPr>
        <w:b/>
        <w:bCs/>
      </w:rPr>
    </w:tblStylePr>
    <w:tblStylePr w:type="lastRow">
      <w:rPr>
        <w:b/>
        <w:bCs/>
      </w:rPr>
      <w:tblPr/>
      <w:tcPr>
        <w:tcBorders>
          <w:top w:val="single" w:sz="18" w:space="0" w:color="F58E5B" w:themeColor="accent5" w:themeTint="BF"/>
        </w:tcBorders>
      </w:tcPr>
    </w:tblStylePr>
    <w:tblStylePr w:type="firstCol">
      <w:rPr>
        <w:b/>
        <w:bCs/>
      </w:rPr>
    </w:tblStylePr>
    <w:tblStylePr w:type="lastCol">
      <w:rPr>
        <w:b/>
        <w:bCs/>
      </w:rPr>
    </w:tblStylePr>
    <w:tblStylePr w:type="band1Vert">
      <w:tblPr/>
      <w:tcPr>
        <w:shd w:val="clear" w:color="auto" w:fill="F8B492" w:themeFill="accent5" w:themeFillTint="7F"/>
      </w:tcPr>
    </w:tblStylePr>
    <w:tblStylePr w:type="band1Horz">
      <w:tblPr/>
      <w:tcPr>
        <w:shd w:val="clear" w:color="auto" w:fill="F8B492" w:themeFill="accent5" w:themeFillTint="7F"/>
      </w:tcPr>
    </w:tblStylePr>
  </w:style>
  <w:style w:type="table" w:styleId="MediumGrid1-Accent6">
    <w:name w:val="Medium Grid 1 Accent 6"/>
    <w:basedOn w:val="TableNormal"/>
    <w:uiPriority w:val="67"/>
    <w:semiHidden/>
    <w:unhideWhenUsed/>
    <w:rsid w:val="00DE2100"/>
    <w:pPr>
      <w:spacing w:line="240" w:lineRule="auto"/>
    </w:pPr>
    <w:tblPr>
      <w:tblStyleRowBandSize w:val="1"/>
      <w:tblStyleColBandSize w:val="1"/>
      <w:tbl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single" w:sz="8" w:space="0" w:color="D96E94" w:themeColor="accent6" w:themeTint="BF"/>
        <w:insideV w:val="single" w:sz="8" w:space="0" w:color="D96E94" w:themeColor="accent6" w:themeTint="BF"/>
      </w:tblBorders>
    </w:tblPr>
    <w:tcPr>
      <w:shd w:val="clear" w:color="auto" w:fill="F2CFDB" w:themeFill="accent6" w:themeFillTint="3F"/>
    </w:tcPr>
    <w:tblStylePr w:type="firstRow">
      <w:rPr>
        <w:b/>
        <w:bCs/>
      </w:rPr>
    </w:tblStylePr>
    <w:tblStylePr w:type="lastRow">
      <w:rPr>
        <w:b/>
        <w:bCs/>
      </w:rPr>
      <w:tblPr/>
      <w:tcPr>
        <w:tcBorders>
          <w:top w:val="single" w:sz="18" w:space="0" w:color="D96E94" w:themeColor="accent6" w:themeTint="BF"/>
        </w:tcBorders>
      </w:tcPr>
    </w:tblStylePr>
    <w:tblStylePr w:type="firstCol">
      <w:rPr>
        <w:b/>
        <w:bCs/>
      </w:rPr>
    </w:tblStylePr>
    <w:tblStylePr w:type="lastCol">
      <w:rPr>
        <w:b/>
        <w:bCs/>
      </w:rPr>
    </w:tblStylePr>
    <w:tblStylePr w:type="band1Vert">
      <w:tblPr/>
      <w:tcPr>
        <w:shd w:val="clear" w:color="auto" w:fill="E69EB7" w:themeFill="accent6" w:themeFillTint="7F"/>
      </w:tcPr>
    </w:tblStylePr>
    <w:tblStylePr w:type="band1Horz">
      <w:tblPr/>
      <w:tcPr>
        <w:shd w:val="clear" w:color="auto" w:fill="E69EB7" w:themeFill="accent6" w:themeFillTint="7F"/>
      </w:tcPr>
    </w:tblStylePr>
  </w:style>
  <w:style w:type="table" w:styleId="MediumGrid2">
    <w:name w:val="Medium Grid 2"/>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insideH w:val="single" w:sz="8" w:space="0" w:color="1B3D6F" w:themeColor="accent1"/>
        <w:insideV w:val="single" w:sz="8" w:space="0" w:color="1B3D6F" w:themeColor="accent1"/>
      </w:tblBorders>
    </w:tblPr>
    <w:tcPr>
      <w:shd w:val="clear" w:color="auto" w:fill="B5CBED" w:themeFill="accent1" w:themeFillTint="3F"/>
    </w:tcPr>
    <w:tblStylePr w:type="firstRow">
      <w:rPr>
        <w:b/>
        <w:bCs/>
        <w:color w:val="000000" w:themeColor="text1"/>
      </w:rPr>
      <w:tblPr/>
      <w:tcPr>
        <w:shd w:val="clear" w:color="auto" w:fill="E1EA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D5F0" w:themeFill="accent1" w:themeFillTint="33"/>
      </w:tcPr>
    </w:tblStylePr>
    <w:tblStylePr w:type="band1Vert">
      <w:tblPr/>
      <w:tcPr>
        <w:shd w:val="clear" w:color="auto" w:fill="6997DA" w:themeFill="accent1" w:themeFillTint="7F"/>
      </w:tcPr>
    </w:tblStylePr>
    <w:tblStylePr w:type="band1Horz">
      <w:tblPr/>
      <w:tcPr>
        <w:tcBorders>
          <w:insideH w:val="single" w:sz="6" w:space="0" w:color="1B3D6F" w:themeColor="accent1"/>
          <w:insideV w:val="single" w:sz="6" w:space="0" w:color="1B3D6F" w:themeColor="accent1"/>
        </w:tcBorders>
        <w:shd w:val="clear" w:color="auto" w:fill="6997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insideH w:val="single" w:sz="8" w:space="0" w:color="2297AA" w:themeColor="accent2"/>
        <w:insideV w:val="single" w:sz="8" w:space="0" w:color="2297AA" w:themeColor="accent2"/>
      </w:tblBorders>
    </w:tblPr>
    <w:tcPr>
      <w:shd w:val="clear" w:color="auto" w:fill="BFEBF2" w:themeFill="accent2" w:themeFillTint="3F"/>
    </w:tcPr>
    <w:tblStylePr w:type="firstRow">
      <w:rPr>
        <w:b/>
        <w:bCs/>
        <w:color w:val="000000" w:themeColor="text1"/>
      </w:rPr>
      <w:tblPr/>
      <w:tcPr>
        <w:shd w:val="clear" w:color="auto" w:fill="E6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FF4" w:themeFill="accent2" w:themeFillTint="33"/>
      </w:tcPr>
    </w:tblStylePr>
    <w:tblStylePr w:type="band1Vert">
      <w:tblPr/>
      <w:tcPr>
        <w:shd w:val="clear" w:color="auto" w:fill="7FD7E5" w:themeFill="accent2" w:themeFillTint="7F"/>
      </w:tcPr>
    </w:tblStylePr>
    <w:tblStylePr w:type="band1Horz">
      <w:tblPr/>
      <w:tcPr>
        <w:tcBorders>
          <w:insideH w:val="single" w:sz="6" w:space="0" w:color="2297AA" w:themeColor="accent2"/>
          <w:insideV w:val="single" w:sz="6" w:space="0" w:color="2297AA" w:themeColor="accent2"/>
        </w:tcBorders>
        <w:shd w:val="clear" w:color="auto" w:fill="7FD7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insideH w:val="single" w:sz="8" w:space="0" w:color="37BA95" w:themeColor="accent3"/>
        <w:insideV w:val="single" w:sz="8" w:space="0" w:color="37BA95" w:themeColor="accent3"/>
      </w:tblBorders>
    </w:tblPr>
    <w:tcPr>
      <w:shd w:val="clear" w:color="auto" w:fill="CBEFE5" w:themeFill="accent3" w:themeFillTint="3F"/>
    </w:tcPr>
    <w:tblStylePr w:type="firstRow">
      <w:rPr>
        <w:b/>
        <w:bCs/>
        <w:color w:val="000000" w:themeColor="text1"/>
      </w:rPr>
      <w:tblPr/>
      <w:tcPr>
        <w:shd w:val="clear" w:color="auto" w:fill="EAF9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EA" w:themeFill="accent3" w:themeFillTint="33"/>
      </w:tcPr>
    </w:tblStylePr>
    <w:tblStylePr w:type="band1Vert">
      <w:tblPr/>
      <w:tcPr>
        <w:shd w:val="clear" w:color="auto" w:fill="97E0CB" w:themeFill="accent3" w:themeFillTint="7F"/>
      </w:tcPr>
    </w:tblStylePr>
    <w:tblStylePr w:type="band1Horz">
      <w:tblPr/>
      <w:tcPr>
        <w:tcBorders>
          <w:insideH w:val="single" w:sz="6" w:space="0" w:color="37BA95" w:themeColor="accent3"/>
          <w:insideV w:val="single" w:sz="6" w:space="0" w:color="37BA95" w:themeColor="accent3"/>
        </w:tcBorders>
        <w:shd w:val="clear" w:color="auto" w:fill="97E0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insideH w:val="single" w:sz="8" w:space="0" w:color="F3BD48" w:themeColor="accent4"/>
        <w:insideV w:val="single" w:sz="8" w:space="0" w:color="F3BD48" w:themeColor="accent4"/>
      </w:tblBorders>
    </w:tblPr>
    <w:tcPr>
      <w:shd w:val="clear" w:color="auto" w:fill="FCEED1" w:themeFill="accent4" w:themeFillTint="3F"/>
    </w:tcPr>
    <w:tblStylePr w:type="firstRow">
      <w:rPr>
        <w:b/>
        <w:bCs/>
        <w:color w:val="000000" w:themeColor="text1"/>
      </w:rPr>
      <w:tblPr/>
      <w:tcPr>
        <w:shd w:val="clear" w:color="auto" w:fill="FDF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A" w:themeFill="accent4" w:themeFillTint="33"/>
      </w:tcPr>
    </w:tblStylePr>
    <w:tblStylePr w:type="band1Vert">
      <w:tblPr/>
      <w:tcPr>
        <w:shd w:val="clear" w:color="auto" w:fill="F9DDA3" w:themeFill="accent4" w:themeFillTint="7F"/>
      </w:tcPr>
    </w:tblStylePr>
    <w:tblStylePr w:type="band1Horz">
      <w:tblPr/>
      <w:tcPr>
        <w:tcBorders>
          <w:insideH w:val="single" w:sz="6" w:space="0" w:color="F3BD48" w:themeColor="accent4"/>
          <w:insideV w:val="single" w:sz="6" w:space="0" w:color="F3BD48" w:themeColor="accent4"/>
        </w:tcBorders>
        <w:shd w:val="clear" w:color="auto" w:fill="F9DD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insideH w:val="single" w:sz="8" w:space="0" w:color="F26A25" w:themeColor="accent5"/>
        <w:insideV w:val="single" w:sz="8" w:space="0" w:color="F26A25" w:themeColor="accent5"/>
      </w:tblBorders>
    </w:tblPr>
    <w:tcPr>
      <w:shd w:val="clear" w:color="auto" w:fill="FBD9C8" w:themeFill="accent5" w:themeFillTint="3F"/>
    </w:tcPr>
    <w:tblStylePr w:type="firstRow">
      <w:rPr>
        <w:b/>
        <w:bCs/>
        <w:color w:val="000000" w:themeColor="text1"/>
      </w:rPr>
      <w:tblPr/>
      <w:tcPr>
        <w:shd w:val="clear" w:color="auto" w:fill="FD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0D3" w:themeFill="accent5" w:themeFillTint="33"/>
      </w:tcPr>
    </w:tblStylePr>
    <w:tblStylePr w:type="band1Vert">
      <w:tblPr/>
      <w:tcPr>
        <w:shd w:val="clear" w:color="auto" w:fill="F8B492" w:themeFill="accent5" w:themeFillTint="7F"/>
      </w:tcPr>
    </w:tblStylePr>
    <w:tblStylePr w:type="band1Horz">
      <w:tblPr/>
      <w:tcPr>
        <w:tcBorders>
          <w:insideH w:val="single" w:sz="6" w:space="0" w:color="F26A25" w:themeColor="accent5"/>
          <w:insideV w:val="single" w:sz="6" w:space="0" w:color="F26A25" w:themeColor="accent5"/>
        </w:tcBorders>
        <w:shd w:val="clear" w:color="auto" w:fill="F8B4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insideH w:val="single" w:sz="8" w:space="0" w:color="CD3E71" w:themeColor="accent6"/>
        <w:insideV w:val="single" w:sz="8" w:space="0" w:color="CD3E71" w:themeColor="accent6"/>
      </w:tblBorders>
    </w:tblPr>
    <w:tcPr>
      <w:shd w:val="clear" w:color="auto" w:fill="F2CFDB" w:themeFill="accent6" w:themeFillTint="3F"/>
    </w:tcPr>
    <w:tblStylePr w:type="firstRow">
      <w:rPr>
        <w:b/>
        <w:bCs/>
        <w:color w:val="000000" w:themeColor="text1"/>
      </w:rPr>
      <w:tblPr/>
      <w:tcPr>
        <w:shd w:val="clear" w:color="auto" w:fill="FAE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E2" w:themeFill="accent6" w:themeFillTint="33"/>
      </w:tcPr>
    </w:tblStylePr>
    <w:tblStylePr w:type="band1Vert">
      <w:tblPr/>
      <w:tcPr>
        <w:shd w:val="clear" w:color="auto" w:fill="E69EB7" w:themeFill="accent6" w:themeFillTint="7F"/>
      </w:tcPr>
    </w:tblStylePr>
    <w:tblStylePr w:type="band1Horz">
      <w:tblPr/>
      <w:tcPr>
        <w:tcBorders>
          <w:insideH w:val="single" w:sz="6" w:space="0" w:color="CD3E71" w:themeColor="accent6"/>
          <w:insideV w:val="single" w:sz="6" w:space="0" w:color="CD3E71" w:themeColor="accent6"/>
        </w:tcBorders>
        <w:shd w:val="clear" w:color="auto" w:fill="E69E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C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3D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3D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3D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3D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97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97DA" w:themeFill="accent1" w:themeFillTint="7F"/>
      </w:tcPr>
    </w:tblStylePr>
  </w:style>
  <w:style w:type="table" w:styleId="MediumGrid3-Accent2">
    <w:name w:val="Medium Grid 3 Accent 2"/>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97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97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97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97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D7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D7E5" w:themeFill="accent2" w:themeFillTint="7F"/>
      </w:tcPr>
    </w:tblStylePr>
  </w:style>
  <w:style w:type="table" w:styleId="MediumGrid3-Accent3">
    <w:name w:val="Medium Grid 3 Accent 3"/>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A9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A9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A9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A9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E0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E0CB" w:themeFill="accent3" w:themeFillTint="7F"/>
      </w:tcPr>
    </w:tblStylePr>
  </w:style>
  <w:style w:type="table" w:styleId="MediumGrid3-Accent4">
    <w:name w:val="Medium Grid 3 Accent 4"/>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BD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BD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BD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BD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D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DA3" w:themeFill="accent4" w:themeFillTint="7F"/>
      </w:tcPr>
    </w:tblStylePr>
  </w:style>
  <w:style w:type="table" w:styleId="MediumGrid3-Accent5">
    <w:name w:val="Medium Grid 3 Accent 5"/>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A2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A2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A2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A2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2" w:themeFill="accent5" w:themeFillTint="7F"/>
      </w:tcPr>
    </w:tblStylePr>
  </w:style>
  <w:style w:type="table" w:styleId="MediumGrid3-Accent6">
    <w:name w:val="Medium Grid 3 Accent 6"/>
    <w:basedOn w:val="TableNormal"/>
    <w:uiPriority w:val="69"/>
    <w:semiHidden/>
    <w:unhideWhenUsed/>
    <w:rsid w:val="00DE210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F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3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3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3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3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E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EB7" w:themeFill="accent6" w:themeFillTint="7F"/>
      </w:tcPr>
    </w:tblStylePr>
  </w:style>
  <w:style w:type="table" w:styleId="MediumList1">
    <w:name w:val="Medium List 1"/>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1B3D6F" w:themeColor="accent1"/>
        <w:bottom w:val="single" w:sz="8" w:space="0" w:color="1B3D6F" w:themeColor="accent1"/>
      </w:tblBorders>
    </w:tblPr>
    <w:tblStylePr w:type="firstRow">
      <w:rPr>
        <w:rFonts w:asciiTheme="majorHAnsi" w:eastAsiaTheme="majorEastAsia" w:hAnsiTheme="majorHAnsi" w:cstheme="majorBidi"/>
      </w:rPr>
      <w:tblPr/>
      <w:tcPr>
        <w:tcBorders>
          <w:top w:val="nil"/>
          <w:bottom w:val="single" w:sz="8" w:space="0" w:color="1B3D6F" w:themeColor="accent1"/>
        </w:tcBorders>
      </w:tcPr>
    </w:tblStylePr>
    <w:tblStylePr w:type="lastRow">
      <w:rPr>
        <w:b/>
        <w:bCs/>
        <w:color w:val="002B54" w:themeColor="text2"/>
      </w:rPr>
      <w:tblPr/>
      <w:tcPr>
        <w:tcBorders>
          <w:top w:val="single" w:sz="8" w:space="0" w:color="1B3D6F" w:themeColor="accent1"/>
          <w:bottom w:val="single" w:sz="8" w:space="0" w:color="1B3D6F" w:themeColor="accent1"/>
        </w:tcBorders>
      </w:tcPr>
    </w:tblStylePr>
    <w:tblStylePr w:type="firstCol">
      <w:rPr>
        <w:b/>
        <w:bCs/>
      </w:rPr>
    </w:tblStylePr>
    <w:tblStylePr w:type="lastCol">
      <w:rPr>
        <w:b/>
        <w:bCs/>
      </w:rPr>
      <w:tblPr/>
      <w:tcPr>
        <w:tcBorders>
          <w:top w:val="single" w:sz="8" w:space="0" w:color="1B3D6F" w:themeColor="accent1"/>
          <w:bottom w:val="single" w:sz="8" w:space="0" w:color="1B3D6F" w:themeColor="accent1"/>
        </w:tcBorders>
      </w:tcPr>
    </w:tblStylePr>
    <w:tblStylePr w:type="band1Vert">
      <w:tblPr/>
      <w:tcPr>
        <w:shd w:val="clear" w:color="auto" w:fill="B5CBED" w:themeFill="accent1" w:themeFillTint="3F"/>
      </w:tcPr>
    </w:tblStylePr>
    <w:tblStylePr w:type="band1Horz">
      <w:tblPr/>
      <w:tcPr>
        <w:shd w:val="clear" w:color="auto" w:fill="B5CBED" w:themeFill="accent1" w:themeFillTint="3F"/>
      </w:tcPr>
    </w:tblStylePr>
  </w:style>
  <w:style w:type="table" w:styleId="MediumList1-Accent2">
    <w:name w:val="Medium List 1 Accent 2"/>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2297AA" w:themeColor="accent2"/>
        <w:bottom w:val="single" w:sz="8" w:space="0" w:color="2297AA" w:themeColor="accent2"/>
      </w:tblBorders>
    </w:tblPr>
    <w:tblStylePr w:type="firstRow">
      <w:rPr>
        <w:rFonts w:asciiTheme="majorHAnsi" w:eastAsiaTheme="majorEastAsia" w:hAnsiTheme="majorHAnsi" w:cstheme="majorBidi"/>
      </w:rPr>
      <w:tblPr/>
      <w:tcPr>
        <w:tcBorders>
          <w:top w:val="nil"/>
          <w:bottom w:val="single" w:sz="8" w:space="0" w:color="2297AA" w:themeColor="accent2"/>
        </w:tcBorders>
      </w:tcPr>
    </w:tblStylePr>
    <w:tblStylePr w:type="lastRow">
      <w:rPr>
        <w:b/>
        <w:bCs/>
        <w:color w:val="002B54" w:themeColor="text2"/>
      </w:rPr>
      <w:tblPr/>
      <w:tcPr>
        <w:tcBorders>
          <w:top w:val="single" w:sz="8" w:space="0" w:color="2297AA" w:themeColor="accent2"/>
          <w:bottom w:val="single" w:sz="8" w:space="0" w:color="2297AA" w:themeColor="accent2"/>
        </w:tcBorders>
      </w:tcPr>
    </w:tblStylePr>
    <w:tblStylePr w:type="firstCol">
      <w:rPr>
        <w:b/>
        <w:bCs/>
      </w:rPr>
    </w:tblStylePr>
    <w:tblStylePr w:type="lastCol">
      <w:rPr>
        <w:b/>
        <w:bCs/>
      </w:rPr>
      <w:tblPr/>
      <w:tcPr>
        <w:tcBorders>
          <w:top w:val="single" w:sz="8" w:space="0" w:color="2297AA" w:themeColor="accent2"/>
          <w:bottom w:val="single" w:sz="8" w:space="0" w:color="2297AA" w:themeColor="accent2"/>
        </w:tcBorders>
      </w:tcPr>
    </w:tblStylePr>
    <w:tblStylePr w:type="band1Vert">
      <w:tblPr/>
      <w:tcPr>
        <w:shd w:val="clear" w:color="auto" w:fill="BFEBF2" w:themeFill="accent2" w:themeFillTint="3F"/>
      </w:tcPr>
    </w:tblStylePr>
    <w:tblStylePr w:type="band1Horz">
      <w:tblPr/>
      <w:tcPr>
        <w:shd w:val="clear" w:color="auto" w:fill="BFEBF2" w:themeFill="accent2" w:themeFillTint="3F"/>
      </w:tcPr>
    </w:tblStylePr>
  </w:style>
  <w:style w:type="table" w:styleId="MediumList1-Accent4">
    <w:name w:val="Medium List 1 Accent 4"/>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F3BD48" w:themeColor="accent4"/>
        <w:bottom w:val="single" w:sz="8" w:space="0" w:color="F3BD48" w:themeColor="accent4"/>
      </w:tblBorders>
    </w:tblPr>
    <w:tblStylePr w:type="firstRow">
      <w:rPr>
        <w:rFonts w:asciiTheme="majorHAnsi" w:eastAsiaTheme="majorEastAsia" w:hAnsiTheme="majorHAnsi" w:cstheme="majorBidi"/>
      </w:rPr>
      <w:tblPr/>
      <w:tcPr>
        <w:tcBorders>
          <w:top w:val="nil"/>
          <w:bottom w:val="single" w:sz="8" w:space="0" w:color="F3BD48" w:themeColor="accent4"/>
        </w:tcBorders>
      </w:tcPr>
    </w:tblStylePr>
    <w:tblStylePr w:type="lastRow">
      <w:rPr>
        <w:b/>
        <w:bCs/>
        <w:color w:val="002B54" w:themeColor="text2"/>
      </w:rPr>
      <w:tblPr/>
      <w:tcPr>
        <w:tcBorders>
          <w:top w:val="single" w:sz="8" w:space="0" w:color="F3BD48" w:themeColor="accent4"/>
          <w:bottom w:val="single" w:sz="8" w:space="0" w:color="F3BD48" w:themeColor="accent4"/>
        </w:tcBorders>
      </w:tcPr>
    </w:tblStylePr>
    <w:tblStylePr w:type="firstCol">
      <w:rPr>
        <w:b/>
        <w:bCs/>
      </w:rPr>
    </w:tblStylePr>
    <w:tblStylePr w:type="lastCol">
      <w:rPr>
        <w:b/>
        <w:bCs/>
      </w:rPr>
      <w:tblPr/>
      <w:tcPr>
        <w:tcBorders>
          <w:top w:val="single" w:sz="8" w:space="0" w:color="F3BD48" w:themeColor="accent4"/>
          <w:bottom w:val="single" w:sz="8" w:space="0" w:color="F3BD48" w:themeColor="accent4"/>
        </w:tcBorders>
      </w:tcPr>
    </w:tblStylePr>
    <w:tblStylePr w:type="band1Vert">
      <w:tblPr/>
      <w:tcPr>
        <w:shd w:val="clear" w:color="auto" w:fill="FCEED1" w:themeFill="accent4" w:themeFillTint="3F"/>
      </w:tcPr>
    </w:tblStylePr>
    <w:tblStylePr w:type="band1Horz">
      <w:tblPr/>
      <w:tcPr>
        <w:shd w:val="clear" w:color="auto" w:fill="FCEED1" w:themeFill="accent4" w:themeFillTint="3F"/>
      </w:tcPr>
    </w:tblStylePr>
  </w:style>
  <w:style w:type="table" w:styleId="MediumList1-Accent5">
    <w:name w:val="Medium List 1 Accent 5"/>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F26A25" w:themeColor="accent5"/>
        <w:bottom w:val="single" w:sz="8" w:space="0" w:color="F26A25" w:themeColor="accent5"/>
      </w:tblBorders>
    </w:tblPr>
    <w:tblStylePr w:type="firstRow">
      <w:rPr>
        <w:rFonts w:asciiTheme="majorHAnsi" w:eastAsiaTheme="majorEastAsia" w:hAnsiTheme="majorHAnsi" w:cstheme="majorBidi"/>
      </w:rPr>
      <w:tblPr/>
      <w:tcPr>
        <w:tcBorders>
          <w:top w:val="nil"/>
          <w:bottom w:val="single" w:sz="8" w:space="0" w:color="F26A25" w:themeColor="accent5"/>
        </w:tcBorders>
      </w:tcPr>
    </w:tblStylePr>
    <w:tblStylePr w:type="lastRow">
      <w:rPr>
        <w:b/>
        <w:bCs/>
        <w:color w:val="002B54" w:themeColor="text2"/>
      </w:rPr>
      <w:tblPr/>
      <w:tcPr>
        <w:tcBorders>
          <w:top w:val="single" w:sz="8" w:space="0" w:color="F26A25" w:themeColor="accent5"/>
          <w:bottom w:val="single" w:sz="8" w:space="0" w:color="F26A25" w:themeColor="accent5"/>
        </w:tcBorders>
      </w:tcPr>
    </w:tblStylePr>
    <w:tblStylePr w:type="firstCol">
      <w:rPr>
        <w:b/>
        <w:bCs/>
      </w:rPr>
    </w:tblStylePr>
    <w:tblStylePr w:type="lastCol">
      <w:rPr>
        <w:b/>
        <w:bCs/>
      </w:rPr>
      <w:tblPr/>
      <w:tcPr>
        <w:tcBorders>
          <w:top w:val="single" w:sz="8" w:space="0" w:color="F26A25" w:themeColor="accent5"/>
          <w:bottom w:val="single" w:sz="8" w:space="0" w:color="F26A25" w:themeColor="accent5"/>
        </w:tcBorders>
      </w:tcPr>
    </w:tblStylePr>
    <w:tblStylePr w:type="band1Vert">
      <w:tblPr/>
      <w:tcPr>
        <w:shd w:val="clear" w:color="auto" w:fill="FBD9C8" w:themeFill="accent5" w:themeFillTint="3F"/>
      </w:tcPr>
    </w:tblStylePr>
    <w:tblStylePr w:type="band1Horz">
      <w:tblPr/>
      <w:tcPr>
        <w:shd w:val="clear" w:color="auto" w:fill="FBD9C8" w:themeFill="accent5" w:themeFillTint="3F"/>
      </w:tcPr>
    </w:tblStylePr>
  </w:style>
  <w:style w:type="table" w:styleId="MediumList1-Accent6">
    <w:name w:val="Medium List 1 Accent 6"/>
    <w:basedOn w:val="TableNormal"/>
    <w:uiPriority w:val="65"/>
    <w:semiHidden/>
    <w:unhideWhenUsed/>
    <w:rsid w:val="00DE2100"/>
    <w:pPr>
      <w:spacing w:line="240" w:lineRule="auto"/>
    </w:pPr>
    <w:rPr>
      <w:color w:val="000000" w:themeColor="text1"/>
    </w:rPr>
    <w:tblPr>
      <w:tblStyleRowBandSize w:val="1"/>
      <w:tblStyleColBandSize w:val="1"/>
      <w:tblBorders>
        <w:top w:val="single" w:sz="8" w:space="0" w:color="CD3E71" w:themeColor="accent6"/>
        <w:bottom w:val="single" w:sz="8" w:space="0" w:color="CD3E71" w:themeColor="accent6"/>
      </w:tblBorders>
    </w:tblPr>
    <w:tblStylePr w:type="firstRow">
      <w:rPr>
        <w:rFonts w:asciiTheme="majorHAnsi" w:eastAsiaTheme="majorEastAsia" w:hAnsiTheme="majorHAnsi" w:cstheme="majorBidi"/>
      </w:rPr>
      <w:tblPr/>
      <w:tcPr>
        <w:tcBorders>
          <w:top w:val="nil"/>
          <w:bottom w:val="single" w:sz="8" w:space="0" w:color="CD3E71" w:themeColor="accent6"/>
        </w:tcBorders>
      </w:tcPr>
    </w:tblStylePr>
    <w:tblStylePr w:type="lastRow">
      <w:rPr>
        <w:b/>
        <w:bCs/>
        <w:color w:val="002B54" w:themeColor="text2"/>
      </w:rPr>
      <w:tblPr/>
      <w:tcPr>
        <w:tcBorders>
          <w:top w:val="single" w:sz="8" w:space="0" w:color="CD3E71" w:themeColor="accent6"/>
          <w:bottom w:val="single" w:sz="8" w:space="0" w:color="CD3E71" w:themeColor="accent6"/>
        </w:tcBorders>
      </w:tcPr>
    </w:tblStylePr>
    <w:tblStylePr w:type="firstCol">
      <w:rPr>
        <w:b/>
        <w:bCs/>
      </w:rPr>
    </w:tblStylePr>
    <w:tblStylePr w:type="lastCol">
      <w:rPr>
        <w:b/>
        <w:bCs/>
      </w:rPr>
      <w:tblPr/>
      <w:tcPr>
        <w:tcBorders>
          <w:top w:val="single" w:sz="8" w:space="0" w:color="CD3E71" w:themeColor="accent6"/>
          <w:bottom w:val="single" w:sz="8" w:space="0" w:color="CD3E71" w:themeColor="accent6"/>
        </w:tcBorders>
      </w:tcPr>
    </w:tblStylePr>
    <w:tblStylePr w:type="band1Vert">
      <w:tblPr/>
      <w:tcPr>
        <w:shd w:val="clear" w:color="auto" w:fill="F2CFDB" w:themeFill="accent6" w:themeFillTint="3F"/>
      </w:tcPr>
    </w:tblStylePr>
    <w:tblStylePr w:type="band1Horz">
      <w:tblPr/>
      <w:tcPr>
        <w:shd w:val="clear" w:color="auto" w:fill="F2CFDB" w:themeFill="accent6" w:themeFillTint="3F"/>
      </w:tcPr>
    </w:tblStylePr>
  </w:style>
  <w:style w:type="table" w:styleId="MediumList2">
    <w:name w:val="Medium List 2"/>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tblBorders>
    </w:tblPr>
    <w:tblStylePr w:type="firstRow">
      <w:rPr>
        <w:sz w:val="24"/>
        <w:szCs w:val="24"/>
      </w:rPr>
      <w:tblPr/>
      <w:tcPr>
        <w:tcBorders>
          <w:top w:val="nil"/>
          <w:left w:val="nil"/>
          <w:bottom w:val="single" w:sz="24" w:space="0" w:color="1B3D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3D6F" w:themeColor="accent1"/>
          <w:insideH w:val="nil"/>
          <w:insideV w:val="nil"/>
        </w:tcBorders>
        <w:shd w:val="clear" w:color="auto" w:fill="FFFFFF" w:themeFill="background1"/>
      </w:tcPr>
    </w:tblStylePr>
    <w:tblStylePr w:type="lastCol">
      <w:tblPr/>
      <w:tcPr>
        <w:tcBorders>
          <w:top w:val="nil"/>
          <w:left w:val="single" w:sz="8" w:space="0" w:color="1B3D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CBED" w:themeFill="accent1" w:themeFillTint="3F"/>
      </w:tcPr>
    </w:tblStylePr>
    <w:tblStylePr w:type="band1Horz">
      <w:tblPr/>
      <w:tcPr>
        <w:tcBorders>
          <w:top w:val="nil"/>
          <w:bottom w:val="nil"/>
          <w:insideH w:val="nil"/>
          <w:insideV w:val="nil"/>
        </w:tcBorders>
        <w:shd w:val="clear" w:color="auto" w:fill="B5C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tblBorders>
    </w:tblPr>
    <w:tblStylePr w:type="firstRow">
      <w:rPr>
        <w:sz w:val="24"/>
        <w:szCs w:val="24"/>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97AA" w:themeColor="accent2"/>
          <w:insideH w:val="nil"/>
          <w:insideV w:val="nil"/>
        </w:tcBorders>
        <w:shd w:val="clear" w:color="auto" w:fill="FFFFFF" w:themeFill="background1"/>
      </w:tcPr>
    </w:tblStylePr>
    <w:tblStylePr w:type="lastCol">
      <w:tblPr/>
      <w:tcPr>
        <w:tcBorders>
          <w:top w:val="nil"/>
          <w:left w:val="single" w:sz="8" w:space="0" w:color="2297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BF2" w:themeFill="accent2" w:themeFillTint="3F"/>
      </w:tcPr>
    </w:tblStylePr>
    <w:tblStylePr w:type="band1Horz">
      <w:tblPr/>
      <w:tcPr>
        <w:tcBorders>
          <w:top w:val="nil"/>
          <w:bottom w:val="nil"/>
          <w:insideH w:val="nil"/>
          <w:insideV w:val="nil"/>
        </w:tcBorders>
        <w:shd w:val="clear" w:color="auto" w:fill="BF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tblBorders>
    </w:tblPr>
    <w:tblStylePr w:type="firstRow">
      <w:rPr>
        <w:sz w:val="24"/>
        <w:szCs w:val="24"/>
      </w:rPr>
      <w:tblPr/>
      <w:tcPr>
        <w:tcBorders>
          <w:top w:val="nil"/>
          <w:left w:val="nil"/>
          <w:bottom w:val="single" w:sz="24" w:space="0" w:color="37BA9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A95" w:themeColor="accent3"/>
          <w:insideH w:val="nil"/>
          <w:insideV w:val="nil"/>
        </w:tcBorders>
        <w:shd w:val="clear" w:color="auto" w:fill="FFFFFF" w:themeFill="background1"/>
      </w:tcPr>
    </w:tblStylePr>
    <w:tblStylePr w:type="lastCol">
      <w:tblPr/>
      <w:tcPr>
        <w:tcBorders>
          <w:top w:val="nil"/>
          <w:left w:val="single" w:sz="8" w:space="0" w:color="37BA9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5" w:themeFill="accent3" w:themeFillTint="3F"/>
      </w:tcPr>
    </w:tblStylePr>
    <w:tblStylePr w:type="band1Horz">
      <w:tblPr/>
      <w:tcPr>
        <w:tcBorders>
          <w:top w:val="nil"/>
          <w:bottom w:val="nil"/>
          <w:insideH w:val="nil"/>
          <w:insideV w:val="nil"/>
        </w:tcBorders>
        <w:shd w:val="clear" w:color="auto" w:fill="CBE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tblBorders>
    </w:tblPr>
    <w:tblStylePr w:type="firstRow">
      <w:rPr>
        <w:sz w:val="24"/>
        <w:szCs w:val="24"/>
      </w:rPr>
      <w:tblPr/>
      <w:tcPr>
        <w:tcBorders>
          <w:top w:val="nil"/>
          <w:left w:val="nil"/>
          <w:bottom w:val="single" w:sz="24" w:space="0" w:color="F3BD4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BD48" w:themeColor="accent4"/>
          <w:insideH w:val="nil"/>
          <w:insideV w:val="nil"/>
        </w:tcBorders>
        <w:shd w:val="clear" w:color="auto" w:fill="FFFFFF" w:themeFill="background1"/>
      </w:tcPr>
    </w:tblStylePr>
    <w:tblStylePr w:type="lastCol">
      <w:tblPr/>
      <w:tcPr>
        <w:tcBorders>
          <w:top w:val="nil"/>
          <w:left w:val="single" w:sz="8" w:space="0" w:color="F3BD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D1" w:themeFill="accent4" w:themeFillTint="3F"/>
      </w:tcPr>
    </w:tblStylePr>
    <w:tblStylePr w:type="band1Horz">
      <w:tblPr/>
      <w:tcPr>
        <w:tcBorders>
          <w:top w:val="nil"/>
          <w:bottom w:val="nil"/>
          <w:insideH w:val="nil"/>
          <w:insideV w:val="nil"/>
        </w:tcBorders>
        <w:shd w:val="clear" w:color="auto" w:fill="FCEE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tblBorders>
    </w:tblPr>
    <w:tblStylePr w:type="firstRow">
      <w:rPr>
        <w:sz w:val="24"/>
        <w:szCs w:val="24"/>
      </w:rPr>
      <w:tblPr/>
      <w:tcPr>
        <w:tcBorders>
          <w:top w:val="nil"/>
          <w:left w:val="nil"/>
          <w:bottom w:val="single" w:sz="24" w:space="0" w:color="F26A2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A25" w:themeColor="accent5"/>
          <w:insideH w:val="nil"/>
          <w:insideV w:val="nil"/>
        </w:tcBorders>
        <w:shd w:val="clear" w:color="auto" w:fill="FFFFFF" w:themeFill="background1"/>
      </w:tcPr>
    </w:tblStylePr>
    <w:tblStylePr w:type="lastCol">
      <w:tblPr/>
      <w:tcPr>
        <w:tcBorders>
          <w:top w:val="nil"/>
          <w:left w:val="single" w:sz="8" w:space="0" w:color="F26A2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8" w:themeFill="accent5" w:themeFillTint="3F"/>
      </w:tcPr>
    </w:tblStylePr>
    <w:tblStylePr w:type="band1Horz">
      <w:tblPr/>
      <w:tcPr>
        <w:tcBorders>
          <w:top w:val="nil"/>
          <w:bottom w:val="nil"/>
          <w:insideH w:val="nil"/>
          <w:insideV w:val="nil"/>
        </w:tcBorders>
        <w:shd w:val="clear" w:color="auto" w:fill="FBD9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21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tblBorders>
    </w:tblPr>
    <w:tblStylePr w:type="firstRow">
      <w:rPr>
        <w:sz w:val="24"/>
        <w:szCs w:val="24"/>
      </w:rPr>
      <w:tblPr/>
      <w:tcPr>
        <w:tcBorders>
          <w:top w:val="nil"/>
          <w:left w:val="nil"/>
          <w:bottom w:val="single" w:sz="24" w:space="0" w:color="CD3E7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3E71" w:themeColor="accent6"/>
          <w:insideH w:val="nil"/>
          <w:insideV w:val="nil"/>
        </w:tcBorders>
        <w:shd w:val="clear" w:color="auto" w:fill="FFFFFF" w:themeFill="background1"/>
      </w:tcPr>
    </w:tblStylePr>
    <w:tblStylePr w:type="lastCol">
      <w:tblPr/>
      <w:tcPr>
        <w:tcBorders>
          <w:top w:val="nil"/>
          <w:left w:val="single" w:sz="8" w:space="0" w:color="CD3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FDB" w:themeFill="accent6" w:themeFillTint="3F"/>
      </w:tcPr>
    </w:tblStylePr>
    <w:tblStylePr w:type="band1Horz">
      <w:tblPr/>
      <w:tcPr>
        <w:tcBorders>
          <w:top w:val="nil"/>
          <w:bottom w:val="nil"/>
          <w:insideH w:val="nil"/>
          <w:insideV w:val="nil"/>
        </w:tcBorders>
        <w:shd w:val="clear" w:color="auto" w:fill="F2CF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210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2100"/>
    <w:pPr>
      <w:spacing w:line="240" w:lineRule="auto"/>
    </w:pPr>
    <w:tblPr>
      <w:tblStyleRowBandSize w:val="1"/>
      <w:tblStyleColBandSize w:val="1"/>
      <w:tbl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single" w:sz="8" w:space="0" w:color="2D66BA" w:themeColor="accent1" w:themeTint="BF"/>
      </w:tblBorders>
    </w:tblPr>
    <w:tblStylePr w:type="firstRow">
      <w:pPr>
        <w:spacing w:before="0" w:after="0" w:line="240" w:lineRule="auto"/>
      </w:pPr>
      <w:rPr>
        <w:b/>
        <w:bCs/>
        <w:color w:val="FFFFFF" w:themeColor="background1"/>
      </w:rPr>
      <w:tblPr/>
      <w:tcPr>
        <w:tc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nil"/>
          <w:insideV w:val="nil"/>
        </w:tcBorders>
        <w:shd w:val="clear" w:color="auto" w:fill="1B3D6F" w:themeFill="accent1"/>
      </w:tcPr>
    </w:tblStylePr>
    <w:tblStylePr w:type="lastRow">
      <w:pPr>
        <w:spacing w:before="0" w:after="0" w:line="240" w:lineRule="auto"/>
      </w:pPr>
      <w:rPr>
        <w:b/>
        <w:bCs/>
      </w:rPr>
      <w:tblPr/>
      <w:tcPr>
        <w:tcBorders>
          <w:top w:val="double" w:sz="6"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CBED" w:themeFill="accent1" w:themeFillTint="3F"/>
      </w:tcPr>
    </w:tblStylePr>
    <w:tblStylePr w:type="band1Horz">
      <w:tblPr/>
      <w:tcPr>
        <w:tcBorders>
          <w:insideH w:val="nil"/>
          <w:insideV w:val="nil"/>
        </w:tcBorders>
        <w:shd w:val="clear" w:color="auto" w:fill="B5C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2100"/>
    <w:pPr>
      <w:spacing w:line="240" w:lineRule="auto"/>
    </w:pPr>
    <w:tblPr>
      <w:tblStyleRowBandSize w:val="1"/>
      <w:tblStyleColBandSize w:val="1"/>
      <w:tbl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single" w:sz="8" w:space="0" w:color="3FC3D8" w:themeColor="accent2" w:themeTint="BF"/>
      </w:tblBorders>
    </w:tblPr>
    <w:tblStylePr w:type="firstRow">
      <w:pPr>
        <w:spacing w:before="0" w:after="0" w:line="240" w:lineRule="auto"/>
      </w:pPr>
      <w:rPr>
        <w:b/>
        <w:bCs/>
        <w:color w:val="FFFFFF" w:themeColor="background1"/>
      </w:rPr>
      <w:tblPr/>
      <w:tcPr>
        <w:tc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nil"/>
          <w:insideV w:val="nil"/>
        </w:tcBorders>
        <w:shd w:val="clear" w:color="auto" w:fill="2297AA" w:themeFill="accent2"/>
      </w:tcPr>
    </w:tblStylePr>
    <w:tblStylePr w:type="lastRow">
      <w:pPr>
        <w:spacing w:before="0" w:after="0" w:line="240" w:lineRule="auto"/>
      </w:pPr>
      <w:rPr>
        <w:b/>
        <w:bCs/>
      </w:rPr>
      <w:tblPr/>
      <w:tcPr>
        <w:tcBorders>
          <w:top w:val="double" w:sz="6"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FEBF2" w:themeFill="accent2" w:themeFillTint="3F"/>
      </w:tcPr>
    </w:tblStylePr>
    <w:tblStylePr w:type="band1Horz">
      <w:tblPr/>
      <w:tcPr>
        <w:tcBorders>
          <w:insideH w:val="nil"/>
          <w:insideV w:val="nil"/>
        </w:tcBorders>
        <w:shd w:val="clear" w:color="auto" w:fill="BFEBF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2100"/>
    <w:pPr>
      <w:spacing w:line="240" w:lineRule="auto"/>
    </w:pPr>
    <w:tblPr>
      <w:tblStyleRowBandSize w:val="1"/>
      <w:tblStyleColBandSize w:val="1"/>
      <w:tbl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single" w:sz="8" w:space="0" w:color="F6CD75" w:themeColor="accent4" w:themeTint="BF"/>
      </w:tblBorders>
    </w:tblPr>
    <w:tblStylePr w:type="firstRow">
      <w:pPr>
        <w:spacing w:before="0" w:after="0" w:line="240" w:lineRule="auto"/>
      </w:pPr>
      <w:rPr>
        <w:b/>
        <w:bCs/>
        <w:color w:val="FFFFFF" w:themeColor="background1"/>
      </w:rPr>
      <w:tblPr/>
      <w:tcPr>
        <w:tc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nil"/>
          <w:insideV w:val="nil"/>
        </w:tcBorders>
        <w:shd w:val="clear" w:color="auto" w:fill="F3BD48" w:themeFill="accent4"/>
      </w:tcPr>
    </w:tblStylePr>
    <w:tblStylePr w:type="lastRow">
      <w:pPr>
        <w:spacing w:before="0" w:after="0" w:line="240" w:lineRule="auto"/>
      </w:pPr>
      <w:rPr>
        <w:b/>
        <w:bCs/>
      </w:rPr>
      <w:tblPr/>
      <w:tcPr>
        <w:tcBorders>
          <w:top w:val="double" w:sz="6"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D1" w:themeFill="accent4" w:themeFillTint="3F"/>
      </w:tcPr>
    </w:tblStylePr>
    <w:tblStylePr w:type="band1Horz">
      <w:tblPr/>
      <w:tcPr>
        <w:tcBorders>
          <w:insideH w:val="nil"/>
          <w:insideV w:val="nil"/>
        </w:tcBorders>
        <w:shd w:val="clear" w:color="auto" w:fill="FCEE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2100"/>
    <w:pPr>
      <w:spacing w:line="240" w:lineRule="auto"/>
    </w:pPr>
    <w:tblPr>
      <w:tblStyleRowBandSize w:val="1"/>
      <w:tblStyleColBandSize w:val="1"/>
      <w:tbl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single" w:sz="8" w:space="0" w:color="F58E5B" w:themeColor="accent5" w:themeTint="BF"/>
      </w:tblBorders>
    </w:tblPr>
    <w:tblStylePr w:type="firstRow">
      <w:pPr>
        <w:spacing w:before="0" w:after="0" w:line="240" w:lineRule="auto"/>
      </w:pPr>
      <w:rPr>
        <w:b/>
        <w:bCs/>
        <w:color w:val="FFFFFF" w:themeColor="background1"/>
      </w:rPr>
      <w:tblPr/>
      <w:tcPr>
        <w:tc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nil"/>
          <w:insideV w:val="nil"/>
        </w:tcBorders>
        <w:shd w:val="clear" w:color="auto" w:fill="F26A25" w:themeFill="accent5"/>
      </w:tcPr>
    </w:tblStylePr>
    <w:tblStylePr w:type="lastRow">
      <w:pPr>
        <w:spacing w:before="0" w:after="0" w:line="240" w:lineRule="auto"/>
      </w:pPr>
      <w:rPr>
        <w:b/>
        <w:bCs/>
      </w:rPr>
      <w:tblPr/>
      <w:tcPr>
        <w:tcBorders>
          <w:top w:val="double" w:sz="6"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9C8" w:themeFill="accent5" w:themeFillTint="3F"/>
      </w:tcPr>
    </w:tblStylePr>
    <w:tblStylePr w:type="band1Horz">
      <w:tblPr/>
      <w:tcPr>
        <w:tcBorders>
          <w:insideH w:val="nil"/>
          <w:insideV w:val="nil"/>
        </w:tcBorders>
        <w:shd w:val="clear" w:color="auto" w:fill="FBD9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2100"/>
    <w:pPr>
      <w:spacing w:line="240" w:lineRule="auto"/>
    </w:pPr>
    <w:tblPr>
      <w:tblStyleRowBandSize w:val="1"/>
      <w:tblStyleColBandSize w:val="1"/>
      <w:tbl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single" w:sz="8" w:space="0" w:color="D96E94" w:themeColor="accent6" w:themeTint="BF"/>
      </w:tblBorders>
    </w:tblPr>
    <w:tblStylePr w:type="firstRow">
      <w:pPr>
        <w:spacing w:before="0" w:after="0" w:line="240" w:lineRule="auto"/>
      </w:pPr>
      <w:rPr>
        <w:b/>
        <w:bCs/>
        <w:color w:val="FFFFFF" w:themeColor="background1"/>
      </w:rPr>
      <w:tblPr/>
      <w:tcPr>
        <w:tc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nil"/>
          <w:insideV w:val="nil"/>
        </w:tcBorders>
        <w:shd w:val="clear" w:color="auto" w:fill="CD3E71" w:themeFill="accent6"/>
      </w:tcPr>
    </w:tblStylePr>
    <w:tblStylePr w:type="lastRow">
      <w:pPr>
        <w:spacing w:before="0" w:after="0" w:line="240" w:lineRule="auto"/>
      </w:pPr>
      <w:rPr>
        <w:b/>
        <w:bCs/>
      </w:rPr>
      <w:tblPr/>
      <w:tcPr>
        <w:tcBorders>
          <w:top w:val="double" w:sz="6"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FDB" w:themeFill="accent6" w:themeFillTint="3F"/>
      </w:tcPr>
    </w:tblStylePr>
    <w:tblStylePr w:type="band1Horz">
      <w:tblPr/>
      <w:tcPr>
        <w:tcBorders>
          <w:insideH w:val="nil"/>
          <w:insideV w:val="nil"/>
        </w:tcBorders>
        <w:shd w:val="clear" w:color="auto" w:fill="F2CF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3D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3D6F" w:themeFill="accent1"/>
      </w:tcPr>
    </w:tblStylePr>
    <w:tblStylePr w:type="lastCol">
      <w:rPr>
        <w:b/>
        <w:bCs/>
        <w:color w:val="FFFFFF" w:themeColor="background1"/>
      </w:rPr>
      <w:tblPr/>
      <w:tcPr>
        <w:tcBorders>
          <w:left w:val="nil"/>
          <w:right w:val="nil"/>
          <w:insideH w:val="nil"/>
          <w:insideV w:val="nil"/>
        </w:tcBorders>
        <w:shd w:val="clear" w:color="auto" w:fill="1B3D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97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297AA" w:themeFill="accent2"/>
      </w:tcPr>
    </w:tblStylePr>
    <w:tblStylePr w:type="lastCol">
      <w:rPr>
        <w:b/>
        <w:bCs/>
        <w:color w:val="FFFFFF" w:themeColor="background1"/>
      </w:rPr>
      <w:tblPr/>
      <w:tcPr>
        <w:tcBorders>
          <w:left w:val="nil"/>
          <w:right w:val="nil"/>
          <w:insideH w:val="nil"/>
          <w:insideV w:val="nil"/>
        </w:tcBorders>
        <w:shd w:val="clear" w:color="auto" w:fill="2297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A9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A95" w:themeFill="accent3"/>
      </w:tcPr>
    </w:tblStylePr>
    <w:tblStylePr w:type="lastCol">
      <w:rPr>
        <w:b/>
        <w:bCs/>
        <w:color w:val="FFFFFF" w:themeColor="background1"/>
      </w:rPr>
      <w:tblPr/>
      <w:tcPr>
        <w:tcBorders>
          <w:left w:val="nil"/>
          <w:right w:val="nil"/>
          <w:insideH w:val="nil"/>
          <w:insideV w:val="nil"/>
        </w:tcBorders>
        <w:shd w:val="clear" w:color="auto" w:fill="37BA9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BD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BD48" w:themeFill="accent4"/>
      </w:tcPr>
    </w:tblStylePr>
    <w:tblStylePr w:type="lastCol">
      <w:rPr>
        <w:b/>
        <w:bCs/>
        <w:color w:val="FFFFFF" w:themeColor="background1"/>
      </w:rPr>
      <w:tblPr/>
      <w:tcPr>
        <w:tcBorders>
          <w:left w:val="nil"/>
          <w:right w:val="nil"/>
          <w:insideH w:val="nil"/>
          <w:insideV w:val="nil"/>
        </w:tcBorders>
        <w:shd w:val="clear" w:color="auto" w:fill="F3BD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A2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6A25" w:themeFill="accent5"/>
      </w:tcPr>
    </w:tblStylePr>
    <w:tblStylePr w:type="lastCol">
      <w:rPr>
        <w:b/>
        <w:bCs/>
        <w:color w:val="FFFFFF" w:themeColor="background1"/>
      </w:rPr>
      <w:tblPr/>
      <w:tcPr>
        <w:tcBorders>
          <w:left w:val="nil"/>
          <w:right w:val="nil"/>
          <w:insideH w:val="nil"/>
          <w:insideV w:val="nil"/>
        </w:tcBorders>
        <w:shd w:val="clear" w:color="auto" w:fill="F26A2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210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3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3E71" w:themeFill="accent6"/>
      </w:tcPr>
    </w:tblStylePr>
    <w:tblStylePr w:type="lastCol">
      <w:rPr>
        <w:b/>
        <w:bCs/>
        <w:color w:val="FFFFFF" w:themeColor="background1"/>
      </w:rPr>
      <w:tblPr/>
      <w:tcPr>
        <w:tcBorders>
          <w:left w:val="nil"/>
          <w:right w:val="nil"/>
          <w:insideH w:val="nil"/>
          <w:insideV w:val="nil"/>
        </w:tcBorders>
        <w:shd w:val="clear" w:color="auto" w:fill="CD3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E210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E210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E2100"/>
    <w:pPr>
      <w:spacing w:before="100" w:beforeAutospacing="1" w:after="100" w:afterAutospacing="1" w:line="240" w:lineRule="auto"/>
    </w:pPr>
    <w:rPr>
      <w:rFonts w:ascii="Arial" w:eastAsiaTheme="minorEastAsia" w:hAnsi="Arial" w:cs="Times New Roman"/>
      <w:szCs w:val="24"/>
      <w:lang w:eastAsia="en-US"/>
    </w:rPr>
  </w:style>
  <w:style w:type="paragraph" w:styleId="NormalIndent">
    <w:name w:val="Normal Indent"/>
    <w:basedOn w:val="Normal"/>
    <w:uiPriority w:val="99"/>
    <w:semiHidden/>
    <w:unhideWhenUsed/>
    <w:rsid w:val="00DE2100"/>
    <w:pPr>
      <w:ind w:left="1440"/>
    </w:pPr>
  </w:style>
  <w:style w:type="paragraph" w:styleId="NoteHeading">
    <w:name w:val="Note Heading"/>
    <w:basedOn w:val="Normal"/>
    <w:next w:val="Normal"/>
    <w:link w:val="NoteHeadingChar"/>
    <w:uiPriority w:val="99"/>
    <w:semiHidden/>
    <w:unhideWhenUsed/>
    <w:rsid w:val="00DE2100"/>
    <w:pPr>
      <w:spacing w:line="240" w:lineRule="auto"/>
    </w:pPr>
  </w:style>
  <w:style w:type="character" w:customStyle="1" w:styleId="NoteHeadingChar">
    <w:name w:val="Note Heading Char"/>
    <w:basedOn w:val="DefaultParagraphFont"/>
    <w:link w:val="NoteHeading"/>
    <w:uiPriority w:val="99"/>
    <w:semiHidden/>
    <w:rsid w:val="00DE2100"/>
    <w:rPr>
      <w:sz w:val="24"/>
    </w:rPr>
  </w:style>
  <w:style w:type="table" w:styleId="PlainTable1">
    <w:name w:val="Plain Table 1"/>
    <w:basedOn w:val="TableNormal"/>
    <w:uiPriority w:val="41"/>
    <w:unhideWhenUsed/>
    <w:rsid w:val="00DE210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DE210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DE210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DE210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DE210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E2100"/>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DE2100"/>
    <w:rPr>
      <w:rFonts w:ascii="Consolas" w:hAnsi="Consolas"/>
      <w:sz w:val="24"/>
      <w:szCs w:val="21"/>
    </w:rPr>
  </w:style>
  <w:style w:type="paragraph" w:styleId="Salutation">
    <w:name w:val="Salutation"/>
    <w:basedOn w:val="Normal"/>
    <w:next w:val="Normal"/>
    <w:link w:val="SalutationChar"/>
    <w:uiPriority w:val="99"/>
    <w:semiHidden/>
    <w:unhideWhenUsed/>
    <w:rsid w:val="00DE2100"/>
  </w:style>
  <w:style w:type="character" w:customStyle="1" w:styleId="SalutationChar">
    <w:name w:val="Salutation Char"/>
    <w:basedOn w:val="DefaultParagraphFont"/>
    <w:link w:val="Salutation"/>
    <w:uiPriority w:val="99"/>
    <w:semiHidden/>
    <w:rsid w:val="00DE2100"/>
    <w:rPr>
      <w:sz w:val="24"/>
    </w:rPr>
  </w:style>
  <w:style w:type="paragraph" w:styleId="Signature">
    <w:name w:val="Signature"/>
    <w:basedOn w:val="Normal"/>
    <w:link w:val="SignatureChar"/>
    <w:uiPriority w:val="99"/>
    <w:semiHidden/>
    <w:unhideWhenUsed/>
    <w:rsid w:val="00DE2100"/>
    <w:pPr>
      <w:spacing w:line="240" w:lineRule="auto"/>
      <w:ind w:left="4320"/>
    </w:pPr>
  </w:style>
  <w:style w:type="character" w:customStyle="1" w:styleId="SignatureChar">
    <w:name w:val="Signature Char"/>
    <w:basedOn w:val="DefaultParagraphFont"/>
    <w:link w:val="Signature"/>
    <w:uiPriority w:val="99"/>
    <w:semiHidden/>
    <w:rsid w:val="00DE2100"/>
    <w:rPr>
      <w:sz w:val="24"/>
    </w:rPr>
  </w:style>
  <w:style w:type="table" w:styleId="Table3Deffects1">
    <w:name w:val="Table 3D effects 1"/>
    <w:basedOn w:val="TableNormal"/>
    <w:uiPriority w:val="99"/>
    <w:semiHidden/>
    <w:unhideWhenUsed/>
    <w:rsid w:val="00DE2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E2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E2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E2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E2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E2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E2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E2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E2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E2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E2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E2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E2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E2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2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E2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E2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E2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E2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E2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E2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E2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E2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E2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E2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DE210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E2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E2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E2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E2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E2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E2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E2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E2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E2100"/>
    <w:pPr>
      <w:ind w:left="220" w:hanging="220"/>
    </w:pPr>
  </w:style>
  <w:style w:type="paragraph" w:styleId="TableofFigures">
    <w:name w:val="table of figures"/>
    <w:basedOn w:val="TOC2"/>
    <w:next w:val="Normal"/>
    <w:uiPriority w:val="99"/>
    <w:semiHidden/>
    <w:unhideWhenUsed/>
    <w:rsid w:val="00DE2100"/>
    <w:pPr>
      <w:ind w:left="432"/>
    </w:pPr>
  </w:style>
  <w:style w:type="table" w:styleId="TableProfessional">
    <w:name w:val="Table Professional"/>
    <w:basedOn w:val="TableNormal"/>
    <w:uiPriority w:val="99"/>
    <w:semiHidden/>
    <w:unhideWhenUsed/>
    <w:rsid w:val="00DE2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E2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E2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E2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E2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E2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E2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E2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E2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E2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E2100"/>
    <w:rPr>
      <w:rFonts w:eastAsiaTheme="majorEastAsia" w:cstheme="majorBidi"/>
      <w:b/>
      <w:bCs/>
      <w:szCs w:val="24"/>
    </w:rPr>
  </w:style>
  <w:style w:type="numbering" w:styleId="1ai">
    <w:name w:val="Outline List 1"/>
    <w:basedOn w:val="NoList"/>
    <w:uiPriority w:val="99"/>
    <w:semiHidden/>
    <w:unhideWhenUsed/>
    <w:rsid w:val="00DE2100"/>
    <w:pPr>
      <w:numPr>
        <w:numId w:val="13"/>
      </w:numPr>
    </w:pPr>
  </w:style>
  <w:style w:type="paragraph" w:customStyle="1" w:styleId="Figure">
    <w:name w:val="Figure"/>
    <w:basedOn w:val="Normal"/>
    <w:next w:val="FigureSource"/>
    <w:uiPriority w:val="12"/>
    <w:unhideWhenUsed/>
    <w:qFormat/>
    <w:rsid w:val="00DE2100"/>
    <w:pPr>
      <w:keepNext/>
      <w:jc w:val="center"/>
    </w:pPr>
    <w:rPr>
      <w:noProof/>
      <w:lang w:eastAsia="en-US"/>
    </w:rPr>
  </w:style>
  <w:style w:type="character" w:customStyle="1" w:styleId="Caption2ndLine">
    <w:name w:val="Caption 2nd Line"/>
    <w:basedOn w:val="DefaultParagraphFont"/>
    <w:uiPriority w:val="12"/>
    <w:unhideWhenUsed/>
    <w:qFormat/>
    <w:rsid w:val="00DE2100"/>
    <w:rPr>
      <w:b/>
      <w:caps/>
      <w:smallCaps w:val="0"/>
      <w:strike w:val="0"/>
      <w:dstrike w:val="0"/>
      <w:vanish w:val="0"/>
      <w:color w:val="494F56" w:themeColor="background2"/>
      <w:spacing w:val="0"/>
      <w:sz w:val="20"/>
      <w:vertAlign w:val="baseline"/>
    </w:rPr>
  </w:style>
  <w:style w:type="paragraph" w:customStyle="1" w:styleId="BulletedList">
    <w:name w:val="Bulleted List"/>
    <w:basedOn w:val="NoSpacing"/>
    <w:qFormat/>
    <w:rsid w:val="00381B38"/>
    <w:pPr>
      <w:numPr>
        <w:numId w:val="33"/>
      </w:numPr>
      <w:spacing w:after="120" w:line="240" w:lineRule="auto"/>
      <w:ind w:right="720"/>
      <w:jc w:val="both"/>
    </w:pPr>
    <w:rPr>
      <w:rFonts w:ascii="Sylfaen" w:eastAsia="Times New Roman" w:hAnsi="Sylfaen" w:cs="Times New Roman"/>
      <w:color w:val="302F35"/>
      <w:sz w:val="21"/>
      <w:szCs w:val="21"/>
    </w:rPr>
  </w:style>
  <w:style w:type="paragraph" w:customStyle="1" w:styleId="BGBulletedList">
    <w:name w:val="BG Bulleted List"/>
    <w:basedOn w:val="ListParagraph"/>
    <w:qFormat/>
    <w:rsid w:val="005A09C6"/>
    <w:pPr>
      <w:numPr>
        <w:numId w:val="35"/>
      </w:numPr>
      <w:spacing w:before="0" w:after="60" w:line="240" w:lineRule="auto"/>
      <w:jc w:val="both"/>
    </w:pPr>
    <w:rPr>
      <w:rFonts w:ascii="Sylfaen" w:hAnsi="Sylfaen" w:cs="Times New Roman"/>
      <w:color w:val="302F35"/>
      <w:sz w:val="23"/>
      <w:szCs w:val="24"/>
      <w:lang w:eastAsia="en-US"/>
    </w:rPr>
  </w:style>
  <w:style w:type="paragraph" w:customStyle="1" w:styleId="paragraph-custom-blue">
    <w:name w:val="paragraph-custom-blue"/>
    <w:basedOn w:val="Normal"/>
    <w:rsid w:val="00B353D7"/>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1281">
      <w:bodyDiv w:val="1"/>
      <w:marLeft w:val="0"/>
      <w:marRight w:val="0"/>
      <w:marTop w:val="0"/>
      <w:marBottom w:val="0"/>
      <w:divBdr>
        <w:top w:val="none" w:sz="0" w:space="0" w:color="auto"/>
        <w:left w:val="none" w:sz="0" w:space="0" w:color="auto"/>
        <w:bottom w:val="none" w:sz="0" w:space="0" w:color="auto"/>
        <w:right w:val="none" w:sz="0" w:space="0" w:color="auto"/>
      </w:divBdr>
    </w:div>
    <w:div w:id="91634387">
      <w:bodyDiv w:val="1"/>
      <w:marLeft w:val="0"/>
      <w:marRight w:val="0"/>
      <w:marTop w:val="0"/>
      <w:marBottom w:val="0"/>
      <w:divBdr>
        <w:top w:val="none" w:sz="0" w:space="0" w:color="auto"/>
        <w:left w:val="none" w:sz="0" w:space="0" w:color="auto"/>
        <w:bottom w:val="none" w:sz="0" w:space="0" w:color="auto"/>
        <w:right w:val="none" w:sz="0" w:space="0" w:color="auto"/>
      </w:divBdr>
    </w:div>
    <w:div w:id="129785467">
      <w:bodyDiv w:val="1"/>
      <w:marLeft w:val="0"/>
      <w:marRight w:val="0"/>
      <w:marTop w:val="0"/>
      <w:marBottom w:val="0"/>
      <w:divBdr>
        <w:top w:val="none" w:sz="0" w:space="0" w:color="auto"/>
        <w:left w:val="none" w:sz="0" w:space="0" w:color="auto"/>
        <w:bottom w:val="none" w:sz="0" w:space="0" w:color="auto"/>
        <w:right w:val="none" w:sz="0" w:space="0" w:color="auto"/>
      </w:divBdr>
    </w:div>
    <w:div w:id="153104299">
      <w:bodyDiv w:val="1"/>
      <w:marLeft w:val="0"/>
      <w:marRight w:val="0"/>
      <w:marTop w:val="0"/>
      <w:marBottom w:val="0"/>
      <w:divBdr>
        <w:top w:val="none" w:sz="0" w:space="0" w:color="auto"/>
        <w:left w:val="none" w:sz="0" w:space="0" w:color="auto"/>
        <w:bottom w:val="none" w:sz="0" w:space="0" w:color="auto"/>
        <w:right w:val="none" w:sz="0" w:space="0" w:color="auto"/>
      </w:divBdr>
    </w:div>
    <w:div w:id="182207142">
      <w:bodyDiv w:val="1"/>
      <w:marLeft w:val="0"/>
      <w:marRight w:val="0"/>
      <w:marTop w:val="0"/>
      <w:marBottom w:val="0"/>
      <w:divBdr>
        <w:top w:val="none" w:sz="0" w:space="0" w:color="auto"/>
        <w:left w:val="none" w:sz="0" w:space="0" w:color="auto"/>
        <w:bottom w:val="none" w:sz="0" w:space="0" w:color="auto"/>
        <w:right w:val="none" w:sz="0" w:space="0" w:color="auto"/>
      </w:divBdr>
    </w:div>
    <w:div w:id="185484443">
      <w:bodyDiv w:val="1"/>
      <w:marLeft w:val="0"/>
      <w:marRight w:val="0"/>
      <w:marTop w:val="0"/>
      <w:marBottom w:val="0"/>
      <w:divBdr>
        <w:top w:val="none" w:sz="0" w:space="0" w:color="auto"/>
        <w:left w:val="none" w:sz="0" w:space="0" w:color="auto"/>
        <w:bottom w:val="none" w:sz="0" w:space="0" w:color="auto"/>
        <w:right w:val="none" w:sz="0" w:space="0" w:color="auto"/>
      </w:divBdr>
    </w:div>
    <w:div w:id="190997109">
      <w:bodyDiv w:val="1"/>
      <w:marLeft w:val="0"/>
      <w:marRight w:val="0"/>
      <w:marTop w:val="0"/>
      <w:marBottom w:val="0"/>
      <w:divBdr>
        <w:top w:val="none" w:sz="0" w:space="0" w:color="auto"/>
        <w:left w:val="none" w:sz="0" w:space="0" w:color="auto"/>
        <w:bottom w:val="none" w:sz="0" w:space="0" w:color="auto"/>
        <w:right w:val="none" w:sz="0" w:space="0" w:color="auto"/>
      </w:divBdr>
    </w:div>
    <w:div w:id="205335254">
      <w:bodyDiv w:val="1"/>
      <w:marLeft w:val="0"/>
      <w:marRight w:val="0"/>
      <w:marTop w:val="0"/>
      <w:marBottom w:val="0"/>
      <w:divBdr>
        <w:top w:val="none" w:sz="0" w:space="0" w:color="auto"/>
        <w:left w:val="none" w:sz="0" w:space="0" w:color="auto"/>
        <w:bottom w:val="none" w:sz="0" w:space="0" w:color="auto"/>
        <w:right w:val="none" w:sz="0" w:space="0" w:color="auto"/>
      </w:divBdr>
    </w:div>
    <w:div w:id="206189843">
      <w:bodyDiv w:val="1"/>
      <w:marLeft w:val="0"/>
      <w:marRight w:val="0"/>
      <w:marTop w:val="0"/>
      <w:marBottom w:val="0"/>
      <w:divBdr>
        <w:top w:val="none" w:sz="0" w:space="0" w:color="auto"/>
        <w:left w:val="none" w:sz="0" w:space="0" w:color="auto"/>
        <w:bottom w:val="none" w:sz="0" w:space="0" w:color="auto"/>
        <w:right w:val="none" w:sz="0" w:space="0" w:color="auto"/>
      </w:divBdr>
    </w:div>
    <w:div w:id="226115169">
      <w:bodyDiv w:val="1"/>
      <w:marLeft w:val="0"/>
      <w:marRight w:val="0"/>
      <w:marTop w:val="0"/>
      <w:marBottom w:val="0"/>
      <w:divBdr>
        <w:top w:val="none" w:sz="0" w:space="0" w:color="auto"/>
        <w:left w:val="none" w:sz="0" w:space="0" w:color="auto"/>
        <w:bottom w:val="none" w:sz="0" w:space="0" w:color="auto"/>
        <w:right w:val="none" w:sz="0" w:space="0" w:color="auto"/>
      </w:divBdr>
    </w:div>
    <w:div w:id="231892692">
      <w:bodyDiv w:val="1"/>
      <w:marLeft w:val="0"/>
      <w:marRight w:val="0"/>
      <w:marTop w:val="0"/>
      <w:marBottom w:val="0"/>
      <w:divBdr>
        <w:top w:val="none" w:sz="0" w:space="0" w:color="auto"/>
        <w:left w:val="none" w:sz="0" w:space="0" w:color="auto"/>
        <w:bottom w:val="none" w:sz="0" w:space="0" w:color="auto"/>
        <w:right w:val="none" w:sz="0" w:space="0" w:color="auto"/>
      </w:divBdr>
    </w:div>
    <w:div w:id="289827677">
      <w:bodyDiv w:val="1"/>
      <w:marLeft w:val="0"/>
      <w:marRight w:val="0"/>
      <w:marTop w:val="0"/>
      <w:marBottom w:val="0"/>
      <w:divBdr>
        <w:top w:val="none" w:sz="0" w:space="0" w:color="auto"/>
        <w:left w:val="none" w:sz="0" w:space="0" w:color="auto"/>
        <w:bottom w:val="none" w:sz="0" w:space="0" w:color="auto"/>
        <w:right w:val="none" w:sz="0" w:space="0" w:color="auto"/>
      </w:divBdr>
    </w:div>
    <w:div w:id="290404900">
      <w:bodyDiv w:val="1"/>
      <w:marLeft w:val="0"/>
      <w:marRight w:val="0"/>
      <w:marTop w:val="0"/>
      <w:marBottom w:val="0"/>
      <w:divBdr>
        <w:top w:val="none" w:sz="0" w:space="0" w:color="auto"/>
        <w:left w:val="none" w:sz="0" w:space="0" w:color="auto"/>
        <w:bottom w:val="none" w:sz="0" w:space="0" w:color="auto"/>
        <w:right w:val="none" w:sz="0" w:space="0" w:color="auto"/>
      </w:divBdr>
    </w:div>
    <w:div w:id="303850945">
      <w:bodyDiv w:val="1"/>
      <w:marLeft w:val="0"/>
      <w:marRight w:val="0"/>
      <w:marTop w:val="0"/>
      <w:marBottom w:val="0"/>
      <w:divBdr>
        <w:top w:val="none" w:sz="0" w:space="0" w:color="auto"/>
        <w:left w:val="none" w:sz="0" w:space="0" w:color="auto"/>
        <w:bottom w:val="none" w:sz="0" w:space="0" w:color="auto"/>
        <w:right w:val="none" w:sz="0" w:space="0" w:color="auto"/>
      </w:divBdr>
    </w:div>
    <w:div w:id="319388825">
      <w:bodyDiv w:val="1"/>
      <w:marLeft w:val="0"/>
      <w:marRight w:val="0"/>
      <w:marTop w:val="0"/>
      <w:marBottom w:val="0"/>
      <w:divBdr>
        <w:top w:val="none" w:sz="0" w:space="0" w:color="auto"/>
        <w:left w:val="none" w:sz="0" w:space="0" w:color="auto"/>
        <w:bottom w:val="none" w:sz="0" w:space="0" w:color="auto"/>
        <w:right w:val="none" w:sz="0" w:space="0" w:color="auto"/>
      </w:divBdr>
    </w:div>
    <w:div w:id="351226173">
      <w:bodyDiv w:val="1"/>
      <w:marLeft w:val="0"/>
      <w:marRight w:val="0"/>
      <w:marTop w:val="0"/>
      <w:marBottom w:val="0"/>
      <w:divBdr>
        <w:top w:val="none" w:sz="0" w:space="0" w:color="auto"/>
        <w:left w:val="none" w:sz="0" w:space="0" w:color="auto"/>
        <w:bottom w:val="none" w:sz="0" w:space="0" w:color="auto"/>
        <w:right w:val="none" w:sz="0" w:space="0" w:color="auto"/>
      </w:divBdr>
    </w:div>
    <w:div w:id="353459775">
      <w:bodyDiv w:val="1"/>
      <w:marLeft w:val="0"/>
      <w:marRight w:val="0"/>
      <w:marTop w:val="0"/>
      <w:marBottom w:val="0"/>
      <w:divBdr>
        <w:top w:val="none" w:sz="0" w:space="0" w:color="auto"/>
        <w:left w:val="none" w:sz="0" w:space="0" w:color="auto"/>
        <w:bottom w:val="none" w:sz="0" w:space="0" w:color="auto"/>
        <w:right w:val="none" w:sz="0" w:space="0" w:color="auto"/>
      </w:divBdr>
    </w:div>
    <w:div w:id="404303093">
      <w:bodyDiv w:val="1"/>
      <w:marLeft w:val="0"/>
      <w:marRight w:val="0"/>
      <w:marTop w:val="0"/>
      <w:marBottom w:val="0"/>
      <w:divBdr>
        <w:top w:val="none" w:sz="0" w:space="0" w:color="auto"/>
        <w:left w:val="none" w:sz="0" w:space="0" w:color="auto"/>
        <w:bottom w:val="none" w:sz="0" w:space="0" w:color="auto"/>
        <w:right w:val="none" w:sz="0" w:space="0" w:color="auto"/>
      </w:divBdr>
    </w:div>
    <w:div w:id="405953793">
      <w:bodyDiv w:val="1"/>
      <w:marLeft w:val="0"/>
      <w:marRight w:val="0"/>
      <w:marTop w:val="0"/>
      <w:marBottom w:val="0"/>
      <w:divBdr>
        <w:top w:val="none" w:sz="0" w:space="0" w:color="auto"/>
        <w:left w:val="none" w:sz="0" w:space="0" w:color="auto"/>
        <w:bottom w:val="none" w:sz="0" w:space="0" w:color="auto"/>
        <w:right w:val="none" w:sz="0" w:space="0" w:color="auto"/>
      </w:divBdr>
    </w:div>
    <w:div w:id="438913863">
      <w:bodyDiv w:val="1"/>
      <w:marLeft w:val="0"/>
      <w:marRight w:val="0"/>
      <w:marTop w:val="0"/>
      <w:marBottom w:val="0"/>
      <w:divBdr>
        <w:top w:val="none" w:sz="0" w:space="0" w:color="auto"/>
        <w:left w:val="none" w:sz="0" w:space="0" w:color="auto"/>
        <w:bottom w:val="none" w:sz="0" w:space="0" w:color="auto"/>
        <w:right w:val="none" w:sz="0" w:space="0" w:color="auto"/>
      </w:divBdr>
      <w:divsChild>
        <w:div w:id="896671673">
          <w:marLeft w:val="720"/>
          <w:marRight w:val="0"/>
          <w:marTop w:val="120"/>
          <w:marBottom w:val="0"/>
          <w:divBdr>
            <w:top w:val="none" w:sz="0" w:space="0" w:color="auto"/>
            <w:left w:val="none" w:sz="0" w:space="0" w:color="auto"/>
            <w:bottom w:val="none" w:sz="0" w:space="0" w:color="auto"/>
            <w:right w:val="none" w:sz="0" w:space="0" w:color="auto"/>
          </w:divBdr>
        </w:div>
        <w:div w:id="914587014">
          <w:marLeft w:val="720"/>
          <w:marRight w:val="0"/>
          <w:marTop w:val="120"/>
          <w:marBottom w:val="0"/>
          <w:divBdr>
            <w:top w:val="none" w:sz="0" w:space="0" w:color="auto"/>
            <w:left w:val="none" w:sz="0" w:space="0" w:color="auto"/>
            <w:bottom w:val="none" w:sz="0" w:space="0" w:color="auto"/>
            <w:right w:val="none" w:sz="0" w:space="0" w:color="auto"/>
          </w:divBdr>
        </w:div>
      </w:divsChild>
    </w:div>
    <w:div w:id="448624475">
      <w:bodyDiv w:val="1"/>
      <w:marLeft w:val="0"/>
      <w:marRight w:val="0"/>
      <w:marTop w:val="0"/>
      <w:marBottom w:val="0"/>
      <w:divBdr>
        <w:top w:val="none" w:sz="0" w:space="0" w:color="auto"/>
        <w:left w:val="none" w:sz="0" w:space="0" w:color="auto"/>
        <w:bottom w:val="none" w:sz="0" w:space="0" w:color="auto"/>
        <w:right w:val="none" w:sz="0" w:space="0" w:color="auto"/>
      </w:divBdr>
    </w:div>
    <w:div w:id="495606678">
      <w:bodyDiv w:val="1"/>
      <w:marLeft w:val="0"/>
      <w:marRight w:val="0"/>
      <w:marTop w:val="0"/>
      <w:marBottom w:val="0"/>
      <w:divBdr>
        <w:top w:val="none" w:sz="0" w:space="0" w:color="auto"/>
        <w:left w:val="none" w:sz="0" w:space="0" w:color="auto"/>
        <w:bottom w:val="none" w:sz="0" w:space="0" w:color="auto"/>
        <w:right w:val="none" w:sz="0" w:space="0" w:color="auto"/>
      </w:divBdr>
    </w:div>
    <w:div w:id="504174260">
      <w:bodyDiv w:val="1"/>
      <w:marLeft w:val="0"/>
      <w:marRight w:val="0"/>
      <w:marTop w:val="0"/>
      <w:marBottom w:val="0"/>
      <w:divBdr>
        <w:top w:val="none" w:sz="0" w:space="0" w:color="auto"/>
        <w:left w:val="none" w:sz="0" w:space="0" w:color="auto"/>
        <w:bottom w:val="none" w:sz="0" w:space="0" w:color="auto"/>
        <w:right w:val="none" w:sz="0" w:space="0" w:color="auto"/>
      </w:divBdr>
    </w:div>
    <w:div w:id="581452596">
      <w:bodyDiv w:val="1"/>
      <w:marLeft w:val="0"/>
      <w:marRight w:val="0"/>
      <w:marTop w:val="0"/>
      <w:marBottom w:val="0"/>
      <w:divBdr>
        <w:top w:val="none" w:sz="0" w:space="0" w:color="auto"/>
        <w:left w:val="none" w:sz="0" w:space="0" w:color="auto"/>
        <w:bottom w:val="none" w:sz="0" w:space="0" w:color="auto"/>
        <w:right w:val="none" w:sz="0" w:space="0" w:color="auto"/>
      </w:divBdr>
    </w:div>
    <w:div w:id="599223580">
      <w:bodyDiv w:val="1"/>
      <w:marLeft w:val="0"/>
      <w:marRight w:val="0"/>
      <w:marTop w:val="0"/>
      <w:marBottom w:val="0"/>
      <w:divBdr>
        <w:top w:val="none" w:sz="0" w:space="0" w:color="auto"/>
        <w:left w:val="none" w:sz="0" w:space="0" w:color="auto"/>
        <w:bottom w:val="none" w:sz="0" w:space="0" w:color="auto"/>
        <w:right w:val="none" w:sz="0" w:space="0" w:color="auto"/>
      </w:divBdr>
    </w:div>
    <w:div w:id="603994910">
      <w:bodyDiv w:val="1"/>
      <w:marLeft w:val="0"/>
      <w:marRight w:val="0"/>
      <w:marTop w:val="0"/>
      <w:marBottom w:val="0"/>
      <w:divBdr>
        <w:top w:val="none" w:sz="0" w:space="0" w:color="auto"/>
        <w:left w:val="none" w:sz="0" w:space="0" w:color="auto"/>
        <w:bottom w:val="none" w:sz="0" w:space="0" w:color="auto"/>
        <w:right w:val="none" w:sz="0" w:space="0" w:color="auto"/>
      </w:divBdr>
    </w:div>
    <w:div w:id="614942579">
      <w:bodyDiv w:val="1"/>
      <w:marLeft w:val="0"/>
      <w:marRight w:val="0"/>
      <w:marTop w:val="0"/>
      <w:marBottom w:val="0"/>
      <w:divBdr>
        <w:top w:val="none" w:sz="0" w:space="0" w:color="auto"/>
        <w:left w:val="none" w:sz="0" w:space="0" w:color="auto"/>
        <w:bottom w:val="none" w:sz="0" w:space="0" w:color="auto"/>
        <w:right w:val="none" w:sz="0" w:space="0" w:color="auto"/>
      </w:divBdr>
    </w:div>
    <w:div w:id="643311971">
      <w:bodyDiv w:val="1"/>
      <w:marLeft w:val="0"/>
      <w:marRight w:val="0"/>
      <w:marTop w:val="0"/>
      <w:marBottom w:val="0"/>
      <w:divBdr>
        <w:top w:val="none" w:sz="0" w:space="0" w:color="auto"/>
        <w:left w:val="none" w:sz="0" w:space="0" w:color="auto"/>
        <w:bottom w:val="none" w:sz="0" w:space="0" w:color="auto"/>
        <w:right w:val="none" w:sz="0" w:space="0" w:color="auto"/>
      </w:divBdr>
    </w:div>
    <w:div w:id="656955976">
      <w:bodyDiv w:val="1"/>
      <w:marLeft w:val="0"/>
      <w:marRight w:val="0"/>
      <w:marTop w:val="0"/>
      <w:marBottom w:val="0"/>
      <w:divBdr>
        <w:top w:val="none" w:sz="0" w:space="0" w:color="auto"/>
        <w:left w:val="none" w:sz="0" w:space="0" w:color="auto"/>
        <w:bottom w:val="none" w:sz="0" w:space="0" w:color="auto"/>
        <w:right w:val="none" w:sz="0" w:space="0" w:color="auto"/>
      </w:divBdr>
    </w:div>
    <w:div w:id="661854715">
      <w:bodyDiv w:val="1"/>
      <w:marLeft w:val="0"/>
      <w:marRight w:val="0"/>
      <w:marTop w:val="0"/>
      <w:marBottom w:val="0"/>
      <w:divBdr>
        <w:top w:val="none" w:sz="0" w:space="0" w:color="auto"/>
        <w:left w:val="none" w:sz="0" w:space="0" w:color="auto"/>
        <w:bottom w:val="none" w:sz="0" w:space="0" w:color="auto"/>
        <w:right w:val="none" w:sz="0" w:space="0" w:color="auto"/>
      </w:divBdr>
    </w:div>
    <w:div w:id="744500352">
      <w:bodyDiv w:val="1"/>
      <w:marLeft w:val="0"/>
      <w:marRight w:val="0"/>
      <w:marTop w:val="0"/>
      <w:marBottom w:val="0"/>
      <w:divBdr>
        <w:top w:val="none" w:sz="0" w:space="0" w:color="auto"/>
        <w:left w:val="none" w:sz="0" w:space="0" w:color="auto"/>
        <w:bottom w:val="none" w:sz="0" w:space="0" w:color="auto"/>
        <w:right w:val="none" w:sz="0" w:space="0" w:color="auto"/>
      </w:divBdr>
    </w:div>
    <w:div w:id="788475310">
      <w:bodyDiv w:val="1"/>
      <w:marLeft w:val="0"/>
      <w:marRight w:val="0"/>
      <w:marTop w:val="0"/>
      <w:marBottom w:val="0"/>
      <w:divBdr>
        <w:top w:val="none" w:sz="0" w:space="0" w:color="auto"/>
        <w:left w:val="none" w:sz="0" w:space="0" w:color="auto"/>
        <w:bottom w:val="none" w:sz="0" w:space="0" w:color="auto"/>
        <w:right w:val="none" w:sz="0" w:space="0" w:color="auto"/>
      </w:divBdr>
    </w:div>
    <w:div w:id="790129536">
      <w:bodyDiv w:val="1"/>
      <w:marLeft w:val="0"/>
      <w:marRight w:val="0"/>
      <w:marTop w:val="0"/>
      <w:marBottom w:val="0"/>
      <w:divBdr>
        <w:top w:val="none" w:sz="0" w:space="0" w:color="auto"/>
        <w:left w:val="none" w:sz="0" w:space="0" w:color="auto"/>
        <w:bottom w:val="none" w:sz="0" w:space="0" w:color="auto"/>
        <w:right w:val="none" w:sz="0" w:space="0" w:color="auto"/>
      </w:divBdr>
    </w:div>
    <w:div w:id="792940340">
      <w:bodyDiv w:val="1"/>
      <w:marLeft w:val="0"/>
      <w:marRight w:val="0"/>
      <w:marTop w:val="0"/>
      <w:marBottom w:val="0"/>
      <w:divBdr>
        <w:top w:val="none" w:sz="0" w:space="0" w:color="auto"/>
        <w:left w:val="none" w:sz="0" w:space="0" w:color="auto"/>
        <w:bottom w:val="none" w:sz="0" w:space="0" w:color="auto"/>
        <w:right w:val="none" w:sz="0" w:space="0" w:color="auto"/>
      </w:divBdr>
    </w:div>
    <w:div w:id="837231416">
      <w:bodyDiv w:val="1"/>
      <w:marLeft w:val="0"/>
      <w:marRight w:val="0"/>
      <w:marTop w:val="0"/>
      <w:marBottom w:val="0"/>
      <w:divBdr>
        <w:top w:val="none" w:sz="0" w:space="0" w:color="auto"/>
        <w:left w:val="none" w:sz="0" w:space="0" w:color="auto"/>
        <w:bottom w:val="none" w:sz="0" w:space="0" w:color="auto"/>
        <w:right w:val="none" w:sz="0" w:space="0" w:color="auto"/>
      </w:divBdr>
    </w:div>
    <w:div w:id="914778263">
      <w:bodyDiv w:val="1"/>
      <w:marLeft w:val="0"/>
      <w:marRight w:val="0"/>
      <w:marTop w:val="0"/>
      <w:marBottom w:val="0"/>
      <w:divBdr>
        <w:top w:val="none" w:sz="0" w:space="0" w:color="auto"/>
        <w:left w:val="none" w:sz="0" w:space="0" w:color="auto"/>
        <w:bottom w:val="none" w:sz="0" w:space="0" w:color="auto"/>
        <w:right w:val="none" w:sz="0" w:space="0" w:color="auto"/>
      </w:divBdr>
    </w:div>
    <w:div w:id="917639599">
      <w:bodyDiv w:val="1"/>
      <w:marLeft w:val="0"/>
      <w:marRight w:val="0"/>
      <w:marTop w:val="0"/>
      <w:marBottom w:val="0"/>
      <w:divBdr>
        <w:top w:val="none" w:sz="0" w:space="0" w:color="auto"/>
        <w:left w:val="none" w:sz="0" w:space="0" w:color="auto"/>
        <w:bottom w:val="none" w:sz="0" w:space="0" w:color="auto"/>
        <w:right w:val="none" w:sz="0" w:space="0" w:color="auto"/>
      </w:divBdr>
    </w:div>
    <w:div w:id="936904844">
      <w:bodyDiv w:val="1"/>
      <w:marLeft w:val="0"/>
      <w:marRight w:val="0"/>
      <w:marTop w:val="0"/>
      <w:marBottom w:val="0"/>
      <w:divBdr>
        <w:top w:val="none" w:sz="0" w:space="0" w:color="auto"/>
        <w:left w:val="none" w:sz="0" w:space="0" w:color="auto"/>
        <w:bottom w:val="none" w:sz="0" w:space="0" w:color="auto"/>
        <w:right w:val="none" w:sz="0" w:space="0" w:color="auto"/>
      </w:divBdr>
      <w:divsChild>
        <w:div w:id="206383821">
          <w:marLeft w:val="446"/>
          <w:marRight w:val="0"/>
          <w:marTop w:val="0"/>
          <w:marBottom w:val="0"/>
          <w:divBdr>
            <w:top w:val="none" w:sz="0" w:space="0" w:color="auto"/>
            <w:left w:val="none" w:sz="0" w:space="0" w:color="auto"/>
            <w:bottom w:val="none" w:sz="0" w:space="0" w:color="auto"/>
            <w:right w:val="none" w:sz="0" w:space="0" w:color="auto"/>
          </w:divBdr>
        </w:div>
        <w:div w:id="232014108">
          <w:marLeft w:val="446"/>
          <w:marRight w:val="0"/>
          <w:marTop w:val="0"/>
          <w:marBottom w:val="0"/>
          <w:divBdr>
            <w:top w:val="none" w:sz="0" w:space="0" w:color="auto"/>
            <w:left w:val="none" w:sz="0" w:space="0" w:color="auto"/>
            <w:bottom w:val="none" w:sz="0" w:space="0" w:color="auto"/>
            <w:right w:val="none" w:sz="0" w:space="0" w:color="auto"/>
          </w:divBdr>
        </w:div>
        <w:div w:id="478771082">
          <w:marLeft w:val="446"/>
          <w:marRight w:val="0"/>
          <w:marTop w:val="0"/>
          <w:marBottom w:val="0"/>
          <w:divBdr>
            <w:top w:val="none" w:sz="0" w:space="0" w:color="auto"/>
            <w:left w:val="none" w:sz="0" w:space="0" w:color="auto"/>
            <w:bottom w:val="none" w:sz="0" w:space="0" w:color="auto"/>
            <w:right w:val="none" w:sz="0" w:space="0" w:color="auto"/>
          </w:divBdr>
        </w:div>
        <w:div w:id="707337457">
          <w:marLeft w:val="446"/>
          <w:marRight w:val="0"/>
          <w:marTop w:val="0"/>
          <w:marBottom w:val="0"/>
          <w:divBdr>
            <w:top w:val="none" w:sz="0" w:space="0" w:color="auto"/>
            <w:left w:val="none" w:sz="0" w:space="0" w:color="auto"/>
            <w:bottom w:val="none" w:sz="0" w:space="0" w:color="auto"/>
            <w:right w:val="none" w:sz="0" w:space="0" w:color="auto"/>
          </w:divBdr>
        </w:div>
        <w:div w:id="728067819">
          <w:marLeft w:val="446"/>
          <w:marRight w:val="0"/>
          <w:marTop w:val="0"/>
          <w:marBottom w:val="0"/>
          <w:divBdr>
            <w:top w:val="none" w:sz="0" w:space="0" w:color="auto"/>
            <w:left w:val="none" w:sz="0" w:space="0" w:color="auto"/>
            <w:bottom w:val="none" w:sz="0" w:space="0" w:color="auto"/>
            <w:right w:val="none" w:sz="0" w:space="0" w:color="auto"/>
          </w:divBdr>
        </w:div>
        <w:div w:id="898177101">
          <w:marLeft w:val="446"/>
          <w:marRight w:val="0"/>
          <w:marTop w:val="0"/>
          <w:marBottom w:val="0"/>
          <w:divBdr>
            <w:top w:val="none" w:sz="0" w:space="0" w:color="auto"/>
            <w:left w:val="none" w:sz="0" w:space="0" w:color="auto"/>
            <w:bottom w:val="none" w:sz="0" w:space="0" w:color="auto"/>
            <w:right w:val="none" w:sz="0" w:space="0" w:color="auto"/>
          </w:divBdr>
        </w:div>
        <w:div w:id="1006178029">
          <w:marLeft w:val="446"/>
          <w:marRight w:val="0"/>
          <w:marTop w:val="0"/>
          <w:marBottom w:val="0"/>
          <w:divBdr>
            <w:top w:val="none" w:sz="0" w:space="0" w:color="auto"/>
            <w:left w:val="none" w:sz="0" w:space="0" w:color="auto"/>
            <w:bottom w:val="none" w:sz="0" w:space="0" w:color="auto"/>
            <w:right w:val="none" w:sz="0" w:space="0" w:color="auto"/>
          </w:divBdr>
        </w:div>
        <w:div w:id="1300189694">
          <w:marLeft w:val="446"/>
          <w:marRight w:val="0"/>
          <w:marTop w:val="0"/>
          <w:marBottom w:val="0"/>
          <w:divBdr>
            <w:top w:val="none" w:sz="0" w:space="0" w:color="auto"/>
            <w:left w:val="none" w:sz="0" w:space="0" w:color="auto"/>
            <w:bottom w:val="none" w:sz="0" w:space="0" w:color="auto"/>
            <w:right w:val="none" w:sz="0" w:space="0" w:color="auto"/>
          </w:divBdr>
        </w:div>
        <w:div w:id="1337728289">
          <w:marLeft w:val="446"/>
          <w:marRight w:val="0"/>
          <w:marTop w:val="0"/>
          <w:marBottom w:val="0"/>
          <w:divBdr>
            <w:top w:val="none" w:sz="0" w:space="0" w:color="auto"/>
            <w:left w:val="none" w:sz="0" w:space="0" w:color="auto"/>
            <w:bottom w:val="none" w:sz="0" w:space="0" w:color="auto"/>
            <w:right w:val="none" w:sz="0" w:space="0" w:color="auto"/>
          </w:divBdr>
        </w:div>
        <w:div w:id="1813790717">
          <w:marLeft w:val="446"/>
          <w:marRight w:val="0"/>
          <w:marTop w:val="0"/>
          <w:marBottom w:val="0"/>
          <w:divBdr>
            <w:top w:val="none" w:sz="0" w:space="0" w:color="auto"/>
            <w:left w:val="none" w:sz="0" w:space="0" w:color="auto"/>
            <w:bottom w:val="none" w:sz="0" w:space="0" w:color="auto"/>
            <w:right w:val="none" w:sz="0" w:space="0" w:color="auto"/>
          </w:divBdr>
        </w:div>
        <w:div w:id="2087025119">
          <w:marLeft w:val="446"/>
          <w:marRight w:val="0"/>
          <w:marTop w:val="0"/>
          <w:marBottom w:val="0"/>
          <w:divBdr>
            <w:top w:val="none" w:sz="0" w:space="0" w:color="auto"/>
            <w:left w:val="none" w:sz="0" w:space="0" w:color="auto"/>
            <w:bottom w:val="none" w:sz="0" w:space="0" w:color="auto"/>
            <w:right w:val="none" w:sz="0" w:space="0" w:color="auto"/>
          </w:divBdr>
        </w:div>
      </w:divsChild>
    </w:div>
    <w:div w:id="971593689">
      <w:bodyDiv w:val="1"/>
      <w:marLeft w:val="0"/>
      <w:marRight w:val="0"/>
      <w:marTop w:val="0"/>
      <w:marBottom w:val="0"/>
      <w:divBdr>
        <w:top w:val="none" w:sz="0" w:space="0" w:color="auto"/>
        <w:left w:val="none" w:sz="0" w:space="0" w:color="auto"/>
        <w:bottom w:val="none" w:sz="0" w:space="0" w:color="auto"/>
        <w:right w:val="none" w:sz="0" w:space="0" w:color="auto"/>
      </w:divBdr>
    </w:div>
    <w:div w:id="977299376">
      <w:bodyDiv w:val="1"/>
      <w:marLeft w:val="0"/>
      <w:marRight w:val="0"/>
      <w:marTop w:val="0"/>
      <w:marBottom w:val="0"/>
      <w:divBdr>
        <w:top w:val="none" w:sz="0" w:space="0" w:color="auto"/>
        <w:left w:val="none" w:sz="0" w:space="0" w:color="auto"/>
        <w:bottom w:val="none" w:sz="0" w:space="0" w:color="auto"/>
        <w:right w:val="none" w:sz="0" w:space="0" w:color="auto"/>
      </w:divBdr>
    </w:div>
    <w:div w:id="1029989584">
      <w:bodyDiv w:val="1"/>
      <w:marLeft w:val="0"/>
      <w:marRight w:val="0"/>
      <w:marTop w:val="0"/>
      <w:marBottom w:val="0"/>
      <w:divBdr>
        <w:top w:val="none" w:sz="0" w:space="0" w:color="auto"/>
        <w:left w:val="none" w:sz="0" w:space="0" w:color="auto"/>
        <w:bottom w:val="none" w:sz="0" w:space="0" w:color="auto"/>
        <w:right w:val="none" w:sz="0" w:space="0" w:color="auto"/>
      </w:divBdr>
    </w:div>
    <w:div w:id="1087382459">
      <w:bodyDiv w:val="1"/>
      <w:marLeft w:val="0"/>
      <w:marRight w:val="0"/>
      <w:marTop w:val="0"/>
      <w:marBottom w:val="0"/>
      <w:divBdr>
        <w:top w:val="none" w:sz="0" w:space="0" w:color="auto"/>
        <w:left w:val="none" w:sz="0" w:space="0" w:color="auto"/>
        <w:bottom w:val="none" w:sz="0" w:space="0" w:color="auto"/>
        <w:right w:val="none" w:sz="0" w:space="0" w:color="auto"/>
      </w:divBdr>
    </w:div>
    <w:div w:id="1111240501">
      <w:bodyDiv w:val="1"/>
      <w:marLeft w:val="0"/>
      <w:marRight w:val="0"/>
      <w:marTop w:val="0"/>
      <w:marBottom w:val="0"/>
      <w:divBdr>
        <w:top w:val="none" w:sz="0" w:space="0" w:color="auto"/>
        <w:left w:val="none" w:sz="0" w:space="0" w:color="auto"/>
        <w:bottom w:val="none" w:sz="0" w:space="0" w:color="auto"/>
        <w:right w:val="none" w:sz="0" w:space="0" w:color="auto"/>
      </w:divBdr>
    </w:div>
    <w:div w:id="1135755243">
      <w:bodyDiv w:val="1"/>
      <w:marLeft w:val="0"/>
      <w:marRight w:val="0"/>
      <w:marTop w:val="0"/>
      <w:marBottom w:val="0"/>
      <w:divBdr>
        <w:top w:val="none" w:sz="0" w:space="0" w:color="auto"/>
        <w:left w:val="none" w:sz="0" w:space="0" w:color="auto"/>
        <w:bottom w:val="none" w:sz="0" w:space="0" w:color="auto"/>
        <w:right w:val="none" w:sz="0" w:space="0" w:color="auto"/>
      </w:divBdr>
      <w:divsChild>
        <w:div w:id="1191607206">
          <w:marLeft w:val="187"/>
          <w:marRight w:val="0"/>
          <w:marTop w:val="360"/>
          <w:marBottom w:val="0"/>
          <w:divBdr>
            <w:top w:val="none" w:sz="0" w:space="0" w:color="auto"/>
            <w:left w:val="none" w:sz="0" w:space="0" w:color="auto"/>
            <w:bottom w:val="none" w:sz="0" w:space="0" w:color="auto"/>
            <w:right w:val="none" w:sz="0" w:space="0" w:color="auto"/>
          </w:divBdr>
        </w:div>
      </w:divsChild>
    </w:div>
    <w:div w:id="1149983804">
      <w:bodyDiv w:val="1"/>
      <w:marLeft w:val="0"/>
      <w:marRight w:val="0"/>
      <w:marTop w:val="0"/>
      <w:marBottom w:val="0"/>
      <w:divBdr>
        <w:top w:val="none" w:sz="0" w:space="0" w:color="auto"/>
        <w:left w:val="none" w:sz="0" w:space="0" w:color="auto"/>
        <w:bottom w:val="none" w:sz="0" w:space="0" w:color="auto"/>
        <w:right w:val="none" w:sz="0" w:space="0" w:color="auto"/>
      </w:divBdr>
    </w:div>
    <w:div w:id="1237010598">
      <w:bodyDiv w:val="1"/>
      <w:marLeft w:val="0"/>
      <w:marRight w:val="0"/>
      <w:marTop w:val="0"/>
      <w:marBottom w:val="0"/>
      <w:divBdr>
        <w:top w:val="none" w:sz="0" w:space="0" w:color="auto"/>
        <w:left w:val="none" w:sz="0" w:space="0" w:color="auto"/>
        <w:bottom w:val="none" w:sz="0" w:space="0" w:color="auto"/>
        <w:right w:val="none" w:sz="0" w:space="0" w:color="auto"/>
      </w:divBdr>
    </w:div>
    <w:div w:id="1249999223">
      <w:bodyDiv w:val="1"/>
      <w:marLeft w:val="0"/>
      <w:marRight w:val="0"/>
      <w:marTop w:val="0"/>
      <w:marBottom w:val="0"/>
      <w:divBdr>
        <w:top w:val="none" w:sz="0" w:space="0" w:color="auto"/>
        <w:left w:val="none" w:sz="0" w:space="0" w:color="auto"/>
        <w:bottom w:val="none" w:sz="0" w:space="0" w:color="auto"/>
        <w:right w:val="none" w:sz="0" w:space="0" w:color="auto"/>
      </w:divBdr>
    </w:div>
    <w:div w:id="1292589870">
      <w:bodyDiv w:val="1"/>
      <w:marLeft w:val="0"/>
      <w:marRight w:val="0"/>
      <w:marTop w:val="0"/>
      <w:marBottom w:val="0"/>
      <w:divBdr>
        <w:top w:val="none" w:sz="0" w:space="0" w:color="auto"/>
        <w:left w:val="none" w:sz="0" w:space="0" w:color="auto"/>
        <w:bottom w:val="none" w:sz="0" w:space="0" w:color="auto"/>
        <w:right w:val="none" w:sz="0" w:space="0" w:color="auto"/>
      </w:divBdr>
    </w:div>
    <w:div w:id="1365448818">
      <w:bodyDiv w:val="1"/>
      <w:marLeft w:val="0"/>
      <w:marRight w:val="0"/>
      <w:marTop w:val="0"/>
      <w:marBottom w:val="0"/>
      <w:divBdr>
        <w:top w:val="none" w:sz="0" w:space="0" w:color="auto"/>
        <w:left w:val="none" w:sz="0" w:space="0" w:color="auto"/>
        <w:bottom w:val="none" w:sz="0" w:space="0" w:color="auto"/>
        <w:right w:val="none" w:sz="0" w:space="0" w:color="auto"/>
      </w:divBdr>
    </w:div>
    <w:div w:id="1433092232">
      <w:bodyDiv w:val="1"/>
      <w:marLeft w:val="0"/>
      <w:marRight w:val="0"/>
      <w:marTop w:val="0"/>
      <w:marBottom w:val="0"/>
      <w:divBdr>
        <w:top w:val="none" w:sz="0" w:space="0" w:color="auto"/>
        <w:left w:val="none" w:sz="0" w:space="0" w:color="auto"/>
        <w:bottom w:val="none" w:sz="0" w:space="0" w:color="auto"/>
        <w:right w:val="none" w:sz="0" w:space="0" w:color="auto"/>
      </w:divBdr>
    </w:div>
    <w:div w:id="1453595927">
      <w:bodyDiv w:val="1"/>
      <w:marLeft w:val="0"/>
      <w:marRight w:val="0"/>
      <w:marTop w:val="0"/>
      <w:marBottom w:val="0"/>
      <w:divBdr>
        <w:top w:val="none" w:sz="0" w:space="0" w:color="auto"/>
        <w:left w:val="none" w:sz="0" w:space="0" w:color="auto"/>
        <w:bottom w:val="none" w:sz="0" w:space="0" w:color="auto"/>
        <w:right w:val="none" w:sz="0" w:space="0" w:color="auto"/>
      </w:divBdr>
    </w:div>
    <w:div w:id="1455783454">
      <w:bodyDiv w:val="1"/>
      <w:marLeft w:val="0"/>
      <w:marRight w:val="0"/>
      <w:marTop w:val="0"/>
      <w:marBottom w:val="0"/>
      <w:divBdr>
        <w:top w:val="none" w:sz="0" w:space="0" w:color="auto"/>
        <w:left w:val="none" w:sz="0" w:space="0" w:color="auto"/>
        <w:bottom w:val="none" w:sz="0" w:space="0" w:color="auto"/>
        <w:right w:val="none" w:sz="0" w:space="0" w:color="auto"/>
      </w:divBdr>
    </w:div>
    <w:div w:id="1462386839">
      <w:bodyDiv w:val="1"/>
      <w:marLeft w:val="0"/>
      <w:marRight w:val="0"/>
      <w:marTop w:val="0"/>
      <w:marBottom w:val="0"/>
      <w:divBdr>
        <w:top w:val="none" w:sz="0" w:space="0" w:color="auto"/>
        <w:left w:val="none" w:sz="0" w:space="0" w:color="auto"/>
        <w:bottom w:val="none" w:sz="0" w:space="0" w:color="auto"/>
        <w:right w:val="none" w:sz="0" w:space="0" w:color="auto"/>
      </w:divBdr>
    </w:div>
    <w:div w:id="1467426292">
      <w:bodyDiv w:val="1"/>
      <w:marLeft w:val="0"/>
      <w:marRight w:val="0"/>
      <w:marTop w:val="0"/>
      <w:marBottom w:val="0"/>
      <w:divBdr>
        <w:top w:val="none" w:sz="0" w:space="0" w:color="auto"/>
        <w:left w:val="none" w:sz="0" w:space="0" w:color="auto"/>
        <w:bottom w:val="none" w:sz="0" w:space="0" w:color="auto"/>
        <w:right w:val="none" w:sz="0" w:space="0" w:color="auto"/>
      </w:divBdr>
    </w:div>
    <w:div w:id="1483962657">
      <w:bodyDiv w:val="1"/>
      <w:marLeft w:val="0"/>
      <w:marRight w:val="0"/>
      <w:marTop w:val="0"/>
      <w:marBottom w:val="0"/>
      <w:divBdr>
        <w:top w:val="none" w:sz="0" w:space="0" w:color="auto"/>
        <w:left w:val="none" w:sz="0" w:space="0" w:color="auto"/>
        <w:bottom w:val="none" w:sz="0" w:space="0" w:color="auto"/>
        <w:right w:val="none" w:sz="0" w:space="0" w:color="auto"/>
      </w:divBdr>
    </w:div>
    <w:div w:id="1500999844">
      <w:bodyDiv w:val="1"/>
      <w:marLeft w:val="0"/>
      <w:marRight w:val="0"/>
      <w:marTop w:val="0"/>
      <w:marBottom w:val="0"/>
      <w:divBdr>
        <w:top w:val="none" w:sz="0" w:space="0" w:color="auto"/>
        <w:left w:val="none" w:sz="0" w:space="0" w:color="auto"/>
        <w:bottom w:val="none" w:sz="0" w:space="0" w:color="auto"/>
        <w:right w:val="none" w:sz="0" w:space="0" w:color="auto"/>
      </w:divBdr>
    </w:div>
    <w:div w:id="1566838827">
      <w:bodyDiv w:val="1"/>
      <w:marLeft w:val="0"/>
      <w:marRight w:val="0"/>
      <w:marTop w:val="0"/>
      <w:marBottom w:val="0"/>
      <w:divBdr>
        <w:top w:val="none" w:sz="0" w:space="0" w:color="auto"/>
        <w:left w:val="none" w:sz="0" w:space="0" w:color="auto"/>
        <w:bottom w:val="none" w:sz="0" w:space="0" w:color="auto"/>
        <w:right w:val="none" w:sz="0" w:space="0" w:color="auto"/>
      </w:divBdr>
    </w:div>
    <w:div w:id="1598099734">
      <w:bodyDiv w:val="1"/>
      <w:marLeft w:val="0"/>
      <w:marRight w:val="0"/>
      <w:marTop w:val="0"/>
      <w:marBottom w:val="0"/>
      <w:divBdr>
        <w:top w:val="none" w:sz="0" w:space="0" w:color="auto"/>
        <w:left w:val="none" w:sz="0" w:space="0" w:color="auto"/>
        <w:bottom w:val="none" w:sz="0" w:space="0" w:color="auto"/>
        <w:right w:val="none" w:sz="0" w:space="0" w:color="auto"/>
      </w:divBdr>
    </w:div>
    <w:div w:id="1635216093">
      <w:bodyDiv w:val="1"/>
      <w:marLeft w:val="0"/>
      <w:marRight w:val="0"/>
      <w:marTop w:val="0"/>
      <w:marBottom w:val="0"/>
      <w:divBdr>
        <w:top w:val="none" w:sz="0" w:space="0" w:color="auto"/>
        <w:left w:val="none" w:sz="0" w:space="0" w:color="auto"/>
        <w:bottom w:val="none" w:sz="0" w:space="0" w:color="auto"/>
        <w:right w:val="none" w:sz="0" w:space="0" w:color="auto"/>
      </w:divBdr>
    </w:div>
    <w:div w:id="1647706184">
      <w:bodyDiv w:val="1"/>
      <w:marLeft w:val="0"/>
      <w:marRight w:val="0"/>
      <w:marTop w:val="0"/>
      <w:marBottom w:val="0"/>
      <w:divBdr>
        <w:top w:val="none" w:sz="0" w:space="0" w:color="auto"/>
        <w:left w:val="none" w:sz="0" w:space="0" w:color="auto"/>
        <w:bottom w:val="none" w:sz="0" w:space="0" w:color="auto"/>
        <w:right w:val="none" w:sz="0" w:space="0" w:color="auto"/>
      </w:divBdr>
    </w:div>
    <w:div w:id="1659961749">
      <w:bodyDiv w:val="1"/>
      <w:marLeft w:val="0"/>
      <w:marRight w:val="0"/>
      <w:marTop w:val="0"/>
      <w:marBottom w:val="0"/>
      <w:divBdr>
        <w:top w:val="none" w:sz="0" w:space="0" w:color="auto"/>
        <w:left w:val="none" w:sz="0" w:space="0" w:color="auto"/>
        <w:bottom w:val="none" w:sz="0" w:space="0" w:color="auto"/>
        <w:right w:val="none" w:sz="0" w:space="0" w:color="auto"/>
      </w:divBdr>
    </w:div>
    <w:div w:id="1686788951">
      <w:bodyDiv w:val="1"/>
      <w:marLeft w:val="0"/>
      <w:marRight w:val="0"/>
      <w:marTop w:val="0"/>
      <w:marBottom w:val="0"/>
      <w:divBdr>
        <w:top w:val="none" w:sz="0" w:space="0" w:color="auto"/>
        <w:left w:val="none" w:sz="0" w:space="0" w:color="auto"/>
        <w:bottom w:val="none" w:sz="0" w:space="0" w:color="auto"/>
        <w:right w:val="none" w:sz="0" w:space="0" w:color="auto"/>
      </w:divBdr>
    </w:div>
    <w:div w:id="1759253391">
      <w:bodyDiv w:val="1"/>
      <w:marLeft w:val="0"/>
      <w:marRight w:val="0"/>
      <w:marTop w:val="0"/>
      <w:marBottom w:val="0"/>
      <w:divBdr>
        <w:top w:val="none" w:sz="0" w:space="0" w:color="auto"/>
        <w:left w:val="none" w:sz="0" w:space="0" w:color="auto"/>
        <w:bottom w:val="none" w:sz="0" w:space="0" w:color="auto"/>
        <w:right w:val="none" w:sz="0" w:space="0" w:color="auto"/>
      </w:divBdr>
    </w:div>
    <w:div w:id="1805809443">
      <w:bodyDiv w:val="1"/>
      <w:marLeft w:val="0"/>
      <w:marRight w:val="0"/>
      <w:marTop w:val="0"/>
      <w:marBottom w:val="0"/>
      <w:divBdr>
        <w:top w:val="none" w:sz="0" w:space="0" w:color="auto"/>
        <w:left w:val="none" w:sz="0" w:space="0" w:color="auto"/>
        <w:bottom w:val="none" w:sz="0" w:space="0" w:color="auto"/>
        <w:right w:val="none" w:sz="0" w:space="0" w:color="auto"/>
      </w:divBdr>
    </w:div>
    <w:div w:id="1861385257">
      <w:bodyDiv w:val="1"/>
      <w:marLeft w:val="0"/>
      <w:marRight w:val="0"/>
      <w:marTop w:val="0"/>
      <w:marBottom w:val="0"/>
      <w:divBdr>
        <w:top w:val="none" w:sz="0" w:space="0" w:color="auto"/>
        <w:left w:val="none" w:sz="0" w:space="0" w:color="auto"/>
        <w:bottom w:val="none" w:sz="0" w:space="0" w:color="auto"/>
        <w:right w:val="none" w:sz="0" w:space="0" w:color="auto"/>
      </w:divBdr>
    </w:div>
    <w:div w:id="1892158093">
      <w:bodyDiv w:val="1"/>
      <w:marLeft w:val="0"/>
      <w:marRight w:val="0"/>
      <w:marTop w:val="0"/>
      <w:marBottom w:val="0"/>
      <w:divBdr>
        <w:top w:val="none" w:sz="0" w:space="0" w:color="auto"/>
        <w:left w:val="none" w:sz="0" w:space="0" w:color="auto"/>
        <w:bottom w:val="none" w:sz="0" w:space="0" w:color="auto"/>
        <w:right w:val="none" w:sz="0" w:space="0" w:color="auto"/>
      </w:divBdr>
    </w:div>
    <w:div w:id="1917786788">
      <w:bodyDiv w:val="1"/>
      <w:marLeft w:val="0"/>
      <w:marRight w:val="0"/>
      <w:marTop w:val="0"/>
      <w:marBottom w:val="0"/>
      <w:divBdr>
        <w:top w:val="none" w:sz="0" w:space="0" w:color="auto"/>
        <w:left w:val="none" w:sz="0" w:space="0" w:color="auto"/>
        <w:bottom w:val="none" w:sz="0" w:space="0" w:color="auto"/>
        <w:right w:val="none" w:sz="0" w:space="0" w:color="auto"/>
      </w:divBdr>
    </w:div>
    <w:div w:id="1965309097">
      <w:bodyDiv w:val="1"/>
      <w:marLeft w:val="0"/>
      <w:marRight w:val="0"/>
      <w:marTop w:val="0"/>
      <w:marBottom w:val="0"/>
      <w:divBdr>
        <w:top w:val="none" w:sz="0" w:space="0" w:color="auto"/>
        <w:left w:val="none" w:sz="0" w:space="0" w:color="auto"/>
        <w:bottom w:val="none" w:sz="0" w:space="0" w:color="auto"/>
        <w:right w:val="none" w:sz="0" w:space="0" w:color="auto"/>
      </w:divBdr>
    </w:div>
    <w:div w:id="1966884215">
      <w:bodyDiv w:val="1"/>
      <w:marLeft w:val="0"/>
      <w:marRight w:val="0"/>
      <w:marTop w:val="0"/>
      <w:marBottom w:val="0"/>
      <w:divBdr>
        <w:top w:val="none" w:sz="0" w:space="0" w:color="auto"/>
        <w:left w:val="none" w:sz="0" w:space="0" w:color="auto"/>
        <w:bottom w:val="none" w:sz="0" w:space="0" w:color="auto"/>
        <w:right w:val="none" w:sz="0" w:space="0" w:color="auto"/>
      </w:divBdr>
    </w:div>
    <w:div w:id="1976373708">
      <w:bodyDiv w:val="1"/>
      <w:marLeft w:val="0"/>
      <w:marRight w:val="0"/>
      <w:marTop w:val="0"/>
      <w:marBottom w:val="0"/>
      <w:divBdr>
        <w:top w:val="none" w:sz="0" w:space="0" w:color="auto"/>
        <w:left w:val="none" w:sz="0" w:space="0" w:color="auto"/>
        <w:bottom w:val="none" w:sz="0" w:space="0" w:color="auto"/>
        <w:right w:val="none" w:sz="0" w:space="0" w:color="auto"/>
      </w:divBdr>
    </w:div>
    <w:div w:id="2092238099">
      <w:bodyDiv w:val="1"/>
      <w:marLeft w:val="0"/>
      <w:marRight w:val="0"/>
      <w:marTop w:val="0"/>
      <w:marBottom w:val="0"/>
      <w:divBdr>
        <w:top w:val="none" w:sz="0" w:space="0" w:color="auto"/>
        <w:left w:val="none" w:sz="0" w:space="0" w:color="auto"/>
        <w:bottom w:val="none" w:sz="0" w:space="0" w:color="auto"/>
        <w:right w:val="none" w:sz="0" w:space="0" w:color="auto"/>
      </w:divBdr>
    </w:div>
    <w:div w:id="21083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sk.net/comment/5376706/trade-surveillance-should-not-deter-trade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rattle%20Templates\North%20America\Brattle%20Resume%20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13D210CFA843D98127FA6A403D9CC1"/>
        <w:category>
          <w:name w:val="General"/>
          <w:gallery w:val="placeholder"/>
        </w:category>
        <w:types>
          <w:type w:val="bbPlcHdr"/>
        </w:types>
        <w:behaviors>
          <w:behavior w:val="content"/>
        </w:behaviors>
        <w:guid w:val="{92564260-0490-4425-B32C-CC4FFC861B9F}"/>
      </w:docPartPr>
      <w:docPartBody>
        <w:p w:rsidR="008478DE" w:rsidRDefault="0059501C">
          <w:pPr>
            <w:pStyle w:val="9013D210CFA843D98127FA6A403D9CC1"/>
          </w:pPr>
          <w:r w:rsidRPr="006055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DE"/>
    <w:rsid w:val="00106AD9"/>
    <w:rsid w:val="00393C0F"/>
    <w:rsid w:val="004702BF"/>
    <w:rsid w:val="0059501C"/>
    <w:rsid w:val="00660740"/>
    <w:rsid w:val="008478DE"/>
    <w:rsid w:val="00B23790"/>
    <w:rsid w:val="00FF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E7E6E6" w:themeColor="background2"/>
    </w:rPr>
  </w:style>
  <w:style w:type="paragraph" w:customStyle="1" w:styleId="9013D210CFA843D98127FA6A403D9CC1">
    <w:name w:val="9013D210CFA843D98127FA6A403D9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rattle-2020">
  <a:themeElements>
    <a:clrScheme name="Brattle-2020">
      <a:dk1>
        <a:srgbClr val="000000"/>
      </a:dk1>
      <a:lt1>
        <a:srgbClr val="FFFFFF"/>
      </a:lt1>
      <a:dk2>
        <a:srgbClr val="002B54"/>
      </a:dk2>
      <a:lt2>
        <a:srgbClr val="494F56"/>
      </a:lt2>
      <a:accent1>
        <a:srgbClr val="1B3D6F"/>
      </a:accent1>
      <a:accent2>
        <a:srgbClr val="2297AA"/>
      </a:accent2>
      <a:accent3>
        <a:srgbClr val="37BA95"/>
      </a:accent3>
      <a:accent4>
        <a:srgbClr val="F3BD48"/>
      </a:accent4>
      <a:accent5>
        <a:srgbClr val="F26A25"/>
      </a:accent5>
      <a:accent6>
        <a:srgbClr val="CD3E71"/>
      </a:accent6>
      <a:hlink>
        <a:srgbClr val="2297AA"/>
      </a:hlink>
      <a:folHlink>
        <a:srgbClr val="CD3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Brattle-2020" id="{7A495D76-502B-4BBA-B004-D73D5F05016F}" vid="{413C1F95-AAC5-4904-8814-FAF3694DF9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51B5D7D3989439FD72A5184CD5811" ma:contentTypeVersion="1" ma:contentTypeDescription="Create a new document." ma:contentTypeScope="" ma:versionID="9a630bb877716148b04861d9cb67394b">
  <xsd:schema xmlns:xsd="http://www.w3.org/2001/XMLSchema" xmlns:xs="http://www.w3.org/2001/XMLSchema" xmlns:p="http://schemas.microsoft.com/office/2006/metadata/properties" xmlns:ns1="http://schemas.microsoft.com/sharepoint/v3" xmlns:ns2="6fa77199-34ed-4585-a419-0ab55bbca786" targetNamespace="http://schemas.microsoft.com/office/2006/metadata/properties" ma:root="true" ma:fieldsID="03549a1bb64cc174a958c008459c9467" ns1:_="" ns2:_="">
    <xsd:import namespace="http://schemas.microsoft.com/sharepoint/v3"/>
    <xsd:import namespace="6fa77199-34ed-4585-a419-0ab55bbca78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77199-34ed-4585-a419-0ab55bbca7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E5FFD0-CE83-4327-8ACC-922ACF183B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3254CD-B139-4993-B526-54AB4FDC5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77199-34ed-4585-a419-0ab55bbc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4F9B3-2B15-4B15-BCAC-1C06946A95CA}">
  <ds:schemaRefs>
    <ds:schemaRef ds:uri="http://schemas.microsoft.com/sharepoint/v3/contenttype/forms"/>
  </ds:schemaRefs>
</ds:datastoreItem>
</file>

<file path=customXml/itemProps5.xml><?xml version="1.0" encoding="utf-8"?>
<ds:datastoreItem xmlns:ds="http://schemas.openxmlformats.org/officeDocument/2006/customXml" ds:itemID="{38CCBD1C-2EE6-4DB0-BC9A-B38281AF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Brattle Resume CV.dotx</Template>
  <TotalTime>0</TotalTime>
  <Pages>28</Pages>
  <Words>11073</Words>
  <Characters>63121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Shaun Ledgerwood</vt:lpstr>
    </vt:vector>
  </TitlesOfParts>
  <Company>The Brattle Group</Company>
  <LinksUpToDate>false</LinksUpToDate>
  <CharactersWithSpaces>74046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Shaun Ledgerwood</dc:title>
  <dc:subject>Subject Line</dc:subject>
  <dc:creator>The Brattle Group</dc:creator>
  <cp:keywords/>
  <dc:description/>
  <cp:lastModifiedBy>Ledgerwood, Shaun</cp:lastModifiedBy>
  <cp:revision>2</cp:revision>
  <cp:lastPrinted>2020-02-14T21:37:00Z</cp:lastPrinted>
  <dcterms:created xsi:type="dcterms:W3CDTF">2022-11-01T13:49:00Z</dcterms:created>
  <dcterms:modified xsi:type="dcterms:W3CDTF">2022-11-01T13:49:00Z</dcterms:modified>
</cp:coreProperties>
</file>